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 w:line="360" w:lineRule="auto"/>
        <w:ind/>
        <w:jc w:val="center"/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</w:rPr>
        <w:t xml:space="preserve">海南师范大学全国硕士研究生招生自命题考试大纲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</w:rPr>
      </w:r>
    </w:p>
    <w:p>
      <w:pPr>
        <w:pBdr/>
        <w:spacing w:line="360" w:lineRule="auto"/>
        <w:ind/>
        <w:jc w:val="center"/>
        <w:rPr>
          <w:rFonts w:ascii="仿宋" w:hAnsi="仿宋" w:eastAsia="仿宋" w:cs="仿宋"/>
          <w:color w:val="000000" w:themeColor="text1"/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考试科目代码：[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801]     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考试科目名称：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</w:rPr>
        <w:t xml:space="preserve">思想政治教育学原理与实践</w:t>
      </w:r>
      <w:r>
        <w:rPr>
          <w:rFonts w:ascii="仿宋" w:hAnsi="仿宋" w:eastAsia="仿宋" w:cs="仿宋"/>
          <w:color w:val="000000" w:themeColor="text1"/>
          <w:sz w:val="28"/>
          <w:szCs w:val="28"/>
        </w:rPr>
      </w:r>
    </w:p>
    <w:p>
      <w:pPr>
        <w:pBdr/>
        <w:spacing/>
        <w:ind/>
        <w:rPr>
          <w:rFonts w:ascii="仿宋" w:hAnsi="仿宋" w:eastAsia="仿宋" w:cs="仿宋"/>
          <w:sz w:val="28"/>
          <w:szCs w:val="28"/>
        </w:rPr>
      </w:pPr>
      <w:r>
        <w:rPr>
          <w:rFonts w:ascii="宋体" w:hAnsi="宋体"/>
          <w:szCs w:val="21"/>
        </w:rPr>
        <w:t xml:space="preserve">﹡﹡﹡﹡﹡﹡﹡﹡﹡﹡﹡﹡﹡﹡﹡﹡﹡﹡﹡﹡﹡﹡﹡﹡﹡﹡﹡﹡﹡﹡﹡﹡﹡﹡﹡﹡﹡﹡﹡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一、考试形式与试卷结构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（一）试卷成绩及考试时间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本试卷满分为150分，考试时间为180分钟。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（二）答题方式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答题方式为闭卷、笔试。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（三）试卷内容结构（考试的内容比例）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综合考试科目各部分内容所占分值为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第一部分　名词解释（概念题）　40分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第二部分　简答（简述题）　    40分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第三部分  分析论述（综合题）  70分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（四）试卷题型结构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名词解释：约5题，共40分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简答：约4题，共40分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分析论述： 约2题，共70分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二、考试目标：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全日制攻读硕士学位研究生入学考试“思想政治教育原理与实践”科目，考试内容包括《思想政治教育学原理》《中国共产党思想政治教育史》两门学科基础课程，要求考生系统掌握相关学科的基本知识、基础理论和基本方法，并能运用相关理论和方法分析、解</w:t>
      </w:r>
      <w:r>
        <w:rPr>
          <w:rFonts w:hint="eastAsia" w:ascii="仿宋" w:hAnsi="仿宋" w:eastAsia="仿宋" w:cs="仿宋"/>
          <w:sz w:val="28"/>
          <w:szCs w:val="28"/>
        </w:rPr>
        <w:t xml:space="preserve">决社会生活中的实际问题。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三、考试范围：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第一部分：思想政治教育学原理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绪  论 思想政治教育学的研究对象、基本范畴；思想政治教育学的指导理论和相关学科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第一章 思想政治教育的发生与发展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思想政治教育发生的根源和标志；思想政治教育的历史演进；中国共产党的思想政治教育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第二章 思想政治教育的本质和特征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思想政治教育的现象与本质；思想政治教育的特征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第三章 思想政治教育的地位和功能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思想政治教育的重要地位；思想政治教育的基本功能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第四章 思想政治教育的过程和规律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思想政治教育过程的环节与特点；思想政治教育的矛盾；思想政治素质形成发展与教育引导规律；思想政治教育适应和促进社会发展的规律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第五章 思想政治教育的目标、内容和任务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思想政治教育的目标，了解市场经济条件下思想政治教育任务的基本要求；确立思想政治教育目的的体系和意义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第六章 思想政治教育的教育者和教育对象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明确思想政治教育者的特征、职能和素质；明确思想政治教育对象，把握思想政治教育对象的广泛性和重点对象、主要对象，领</w:t>
      </w:r>
      <w:r>
        <w:rPr>
          <w:rFonts w:hint="eastAsia" w:ascii="仿宋" w:hAnsi="仿宋" w:eastAsia="仿宋" w:cs="仿宋"/>
          <w:sz w:val="28"/>
          <w:szCs w:val="28"/>
        </w:rPr>
        <w:t xml:space="preserve">导干部是思想政治教育的重点对象，青年是思想政治教育的主要对象；正确认识青年工人、农民、学生在新时期的新特点；掌握科学分析思想政治教育对象的主要方法；明确思想政治教育者与教育对象的关系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第七章 思想政治教育的原则和方法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思想政治教育的六个主要原则；思想政治教育的基本方法、具体方法和教育方法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第八章 思想政治教育的载体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思想政治教育载体及作用；思想政治教育载体的类型与特点；思想政治教育载体的选择运用与开发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第九章 网络思想政治教育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互联网及其对人的发展的作用；网络思想政治教育的发展与新课题；</w:t>
      </w:r>
      <w:r>
        <w:rPr>
          <w:rFonts w:hint="eastAsia" w:ascii="仿宋" w:hAnsi="仿宋" w:eastAsia="仿宋" w:cs="仿宋"/>
          <w:sz w:val="28"/>
          <w:szCs w:val="28"/>
        </w:rPr>
        <w:t xml:space="preserve">网内与网外思想政治教育的关系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第十章 思想政治教育的环境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思想政治教育环境的内涵及其类型；环境影响与思想政治教育的关系；思想政治教育环境的选择与建设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第十一章 思想政治教育的管理和评估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着重理解思想政治教育管理的含义和特征；思想政治教育管理的基本内容；思想政治教育管理过程；思想政治教育决策的形成、执行和反馈过程；思想政治教育管理体系；思想政治教育评估的标准及原则以及评估的可行性；评估指标体系的具体要求和具体分析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第十二章 思想政治教育队伍的素质和建设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思想政治教育队伍的构成与特点；思想政治教育队伍的素质；思想政治教育者素质的建设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第十三章 思想政治教育的创新和发展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思想政治教育创新发展的时代要求；思想政治教育创新发展的条件；思想政治教育创新发展的途径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第二部分  中国共产党思想政治教育史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绪  论 中国共产党思想政治教育史的研究对象与基本内容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第一章 中国共产党成立与思想政治教育的历史开端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马克思主义的最初传入与广泛传播；中国共产党思想政治教育的发轫；大革命时期思想政治教育的蓬勃开展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第二章 土地革命时期思想政治教育的艰辛探索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创建人民军队和农村革命根据地中的思想政治教育；思想政治教育理论的形成；红军反“围剿”斗争和长征中的思想政治教育；时局转换进程中的思想政治教育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第三章 全面抗战时期思想政治教育的日趋成熟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全面抗战路线的宣传教育；加强党员干部的思想政治教育；思想政治教育理论形成体系；马克思主义的中国化和大众化；夺取抗战胜利中的思想政治教育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第四章 解放战争时期思想政治教育的成功实践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动员全国人民参加解放战争；人民解放军的思想政治教育；解放战争时期的党内教育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第五章 新中国成立初期社会主义思想政治教育的全面推进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新中国思想政治教育的确立；围绕党的主要工作开展思想政治教育；社会主义思想政治教育的全方位展开；党的八大和社会主义思想政治教育理论的探索与形成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第六章 社会主义建设时期思想政治教育的曲折发展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思想政治教育的探索过程和两种趋向；思想政治教育社会化、制度化的积极探索；思想政治教育多种形式与载体的运用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第七章 “文化大革命”时期思想政治教育的严重挫折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“文化大革命”的发动与思想政治教育的严重失误；“文化大革命”对思想政治教育的严重危害；批判极左思潮与思想政治教育的短暂转机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第八章 历史伟大转折和改革开放起步阶段思想政治教育的拨乱反正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“文化大革命”结束和思想政治教育逐步恢复；真理标准的讨论与思想解放大潮的兴起；党的十一届三中全会和思想政治教育的历史性转折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第九章 开创社会主义现代化建设新局面进程中思想政治教育的全面展开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党的十二大和群众性思想政治教育的有序展开；党的十三大和思想政治教育的曲折与加强；新时期思想政治教育的理论建设</w:t>
      </w:r>
      <w:r>
        <w:rPr>
          <w:rFonts w:hint="eastAsia" w:ascii="仿宋" w:hAnsi="仿宋" w:eastAsia="仿宋" w:cs="仿宋"/>
          <w:sz w:val="28"/>
          <w:szCs w:val="28"/>
        </w:rPr>
        <w:t xml:space="preserve">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第十章 社会主义市场经济条件下思想政治教育的与时俱进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第十一章 全面建成小康社会进程中思想政治教育的科学发展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/>
      </w:pPr>
      <w:r>
        <w:rPr>
          <w:rFonts w:hint="eastAsia" w:ascii="仿宋" w:hAnsi="仿宋" w:eastAsia="仿宋" w:cs="仿宋"/>
          <w:sz w:val="28"/>
          <w:szCs w:val="28"/>
        </w:rPr>
        <w:t xml:space="preserve">第十二章  在实现中华民族伟大复兴道路上开创思想政治教育新局面</w:t>
      </w:r>
      <w:r/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四、主要参考书目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1.</w:t>
      </w:r>
      <w:r>
        <w:rPr>
          <w:rFonts w:ascii="仿宋" w:hAnsi="仿宋" w:eastAsia="仿宋" w:cs="仿宋"/>
          <w:sz w:val="28"/>
          <w:szCs w:val="28"/>
        </w:rPr>
        <w:t xml:space="preserve">《思想政治教育学原理》编写组</w:t>
      </w:r>
      <w:r>
        <w:rPr>
          <w:rFonts w:hint="eastAsia" w:ascii="仿宋" w:hAnsi="仿宋" w:eastAsia="仿宋" w:cs="仿宋"/>
          <w:sz w:val="28"/>
          <w:szCs w:val="28"/>
        </w:rPr>
        <w:t xml:space="preserve">：</w:t>
      </w:r>
      <w:r>
        <w:rPr>
          <w:rFonts w:ascii="仿宋" w:hAnsi="仿宋" w:eastAsia="仿宋" w:cs="仿宋"/>
          <w:sz w:val="28"/>
          <w:szCs w:val="28"/>
        </w:rPr>
        <w:t xml:space="preserve">《思想政治教育学原理》</w:t>
      </w:r>
      <w:r>
        <w:rPr>
          <w:rFonts w:hint="eastAsia" w:ascii="仿宋" w:hAnsi="仿宋" w:eastAsia="仿宋" w:cs="仿宋"/>
          <w:sz w:val="28"/>
          <w:szCs w:val="28"/>
        </w:rPr>
        <w:t xml:space="preserve">，高等教育出版社2016年版。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2.</w:t>
      </w:r>
      <w:r>
        <w:rPr>
          <w:rFonts w:hint="eastAsia" w:ascii="仿宋" w:hAnsi="仿宋" w:eastAsia="仿宋" w:cs="仿宋"/>
          <w:sz w:val="28"/>
          <w:szCs w:val="28"/>
        </w:rPr>
        <w:t xml:space="preserve">《中国共产党思想政治教育史》</w:t>
      </w:r>
      <w:r>
        <w:rPr>
          <w:rFonts w:ascii="仿宋" w:hAnsi="仿宋" w:eastAsia="仿宋" w:cs="仿宋"/>
          <w:sz w:val="28"/>
          <w:szCs w:val="28"/>
        </w:rPr>
        <w:t xml:space="preserve">编写组</w:t>
      </w:r>
      <w:r>
        <w:rPr>
          <w:rFonts w:hint="eastAsia" w:ascii="仿宋" w:hAnsi="仿宋" w:eastAsia="仿宋" w:cs="仿宋"/>
          <w:sz w:val="28"/>
          <w:szCs w:val="28"/>
        </w:rPr>
        <w:t xml:space="preserve">：</w:t>
      </w:r>
      <w:r>
        <w:rPr>
          <w:rFonts w:hint="eastAsia" w:ascii="仿宋" w:hAnsi="仿宋" w:eastAsia="仿宋" w:cs="仿宋"/>
          <w:sz w:val="28"/>
          <w:szCs w:val="28"/>
        </w:rPr>
        <w:t xml:space="preserve">《中国共产党思想政治教育史》</w:t>
      </w:r>
      <w:r>
        <w:rPr>
          <w:rFonts w:hint="eastAsia" w:ascii="仿宋" w:hAnsi="仿宋" w:eastAsia="仿宋" w:cs="仿宋"/>
          <w:sz w:val="28"/>
          <w:szCs w:val="28"/>
        </w:rPr>
        <w:t xml:space="preserve">，高等教育出版社2016年版。</w:t>
      </w:r>
      <w:r>
        <w:rPr>
          <w:rFonts w:ascii="仿宋" w:hAnsi="仿宋" w:eastAsia="仿宋" w:cs="仿宋"/>
          <w:sz w:val="28"/>
          <w:szCs w:val="28"/>
        </w:rPr>
      </w:r>
    </w:p>
    <w:p>
      <w:pPr>
        <w:pBdr/>
        <w:spacing/>
        <w:ind w:firstLine="560"/>
        <w:rPr>
          <w:rFonts w:ascii="仿宋" w:hAnsi="仿宋" w:eastAsia="仿宋" w:cs="仿宋"/>
          <w:sz w:val="28"/>
          <w:szCs w:val="28"/>
        </w:rPr>
      </w:pPr>
      <w:r/>
      <w:bookmarkStart w:id="0" w:name="_GoBack"/>
      <w:r/>
      <w:bookmarkEnd w:id="0"/>
      <w:r/>
      <w:r>
        <w:rPr>
          <w:rFonts w:ascii="仿宋" w:hAnsi="仿宋" w:eastAsia="仿宋" w:cs="仿宋"/>
          <w:sz w:val="28"/>
          <w:szCs w:val="28"/>
        </w:rPr>
      </w:r>
    </w:p>
    <w:sectPr>
      <w:footnotePr/>
      <w:endnotePr/>
      <w:type w:val="nextPage"/>
      <w:pgSz w:h="16838" w:orient="landscape" w:w="11906"/>
      <w:pgMar w:top="1440" w:right="1800" w:bottom="1440" w:left="180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</w:font>
  <w:font w:name="宋体">
    <w:panose1 w:val="02010600030101010101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9"/>
    <w:next w:val="659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60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9"/>
    <w:next w:val="659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60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9"/>
    <w:next w:val="659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60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9"/>
    <w:next w:val="659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60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9"/>
    <w:next w:val="659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60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9"/>
    <w:next w:val="659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60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9"/>
    <w:next w:val="659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60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9"/>
    <w:next w:val="659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60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9"/>
    <w:next w:val="659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60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9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9"/>
    <w:next w:val="659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60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9"/>
    <w:next w:val="659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60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9"/>
    <w:next w:val="659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9"/>
    <w:next w:val="659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character" w:styleId="43">
    <w:name w:val="Header Char"/>
    <w:basedOn w:val="660"/>
    <w:link w:val="663"/>
    <w:uiPriority w:val="99"/>
    <w:pPr>
      <w:pBdr/>
      <w:spacing/>
      <w:ind/>
    </w:pPr>
  </w:style>
  <w:style w:type="character" w:styleId="45">
    <w:name w:val="Footer Char"/>
    <w:basedOn w:val="660"/>
    <w:link w:val="665"/>
    <w:uiPriority w:val="99"/>
    <w:pPr>
      <w:pBdr/>
      <w:spacing/>
      <w:ind/>
    </w:pPr>
  </w:style>
  <w:style w:type="paragraph" w:styleId="46">
    <w:name w:val="Caption"/>
    <w:basedOn w:val="659"/>
    <w:next w:val="65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5"/>
    <w:uiPriority w:val="99"/>
    <w:pPr>
      <w:pBdr/>
      <w:spacing/>
      <w:ind/>
    </w:pPr>
  </w:style>
  <w:style w:type="table" w:styleId="48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9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60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9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60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9"/>
    <w:next w:val="659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9"/>
    <w:next w:val="659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9"/>
    <w:next w:val="659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9"/>
    <w:next w:val="659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9"/>
    <w:next w:val="659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9"/>
    <w:next w:val="659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9"/>
    <w:next w:val="659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9"/>
    <w:next w:val="659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9"/>
    <w:next w:val="659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9"/>
    <w:next w:val="659"/>
    <w:uiPriority w:val="99"/>
    <w:unhideWhenUsed/>
    <w:pPr>
      <w:pBdr/>
      <w:spacing w:after="0" w:afterAutospacing="0"/>
      <w:ind/>
    </w:pPr>
  </w:style>
  <w:style w:type="paragraph" w:styleId="659" w:default="1">
    <w:name w:val="Normal"/>
    <w:qFormat/>
    <w:pPr>
      <w:widowControl w:val="false"/>
      <w:pBdr/>
      <w:spacing/>
      <w:ind/>
      <w:jc w:val="both"/>
    </w:pPr>
    <w:rPr>
      <w:rFonts w:ascii="Times New Roman" w:hAnsi="Times New Roman" w:eastAsia="宋体" w:cs="Times New Roman"/>
      <w:sz w:val="21"/>
      <w:szCs w:val="24"/>
    </w:rPr>
  </w:style>
  <w:style w:type="character" w:styleId="660" w:default="1">
    <w:name w:val="Default Paragraph Font"/>
    <w:uiPriority w:val="1"/>
    <w:semiHidden/>
    <w:unhideWhenUsed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Header"/>
    <w:basedOn w:val="659"/>
    <w:link w:val="664"/>
    <w:uiPriority w:val="99"/>
    <w:unhideWhenUsed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64" w:customStyle="1">
    <w:name w:val="页眉 Char"/>
    <w:basedOn w:val="660"/>
    <w:link w:val="663"/>
    <w:uiPriority w:val="99"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  <w:style w:type="paragraph" w:styleId="665">
    <w:name w:val="Footer"/>
    <w:basedOn w:val="659"/>
    <w:link w:val="666"/>
    <w:uiPriority w:val="99"/>
    <w:unhideWhenUsed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66" w:customStyle="1">
    <w:name w:val="页脚 Char"/>
    <w:basedOn w:val="660"/>
    <w:link w:val="665"/>
    <w:uiPriority w:val="99"/>
    <w:pPr>
      <w:pBdr/>
      <w:spacing/>
      <w:ind/>
    </w:pPr>
    <w:rPr>
      <w:rFonts w:ascii="Times New Roman" w:hAnsi="Times New Roman" w:eastAsia="宋体" w:cs="Times New Roman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等线"/>
        <a:ea typeface="等线"/>
        <a:cs typeface="Arial"/>
      </a:majorFont>
      <a:minorFont>
        <a:latin typeface="Cambria"/>
        <a:ea typeface="Cambria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1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匿名</cp:lastModifiedBy>
  <cp:revision>26</cp:revision>
  <dcterms:created xsi:type="dcterms:W3CDTF">2017-07-13T01:41:00Z</dcterms:created>
  <dcterms:modified xsi:type="dcterms:W3CDTF">2025-04-23T05:35:27Z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