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 xml:space="preserve">   </w:t>
      </w:r>
      <w:r>
        <w:rPr>
          <w:rFonts w:hint="eastAsia" w:ascii="黑体" w:hAnsi="黑体" w:eastAsia="黑体"/>
          <w:b/>
          <w:sz w:val="24"/>
          <w:u w:val="single"/>
        </w:rPr>
        <w:t>海南师范大学</w:t>
      </w:r>
      <w:r>
        <w:rPr>
          <w:rFonts w:hint="eastAsia"/>
          <w:sz w:val="28"/>
          <w:u w:val="single"/>
        </w:rPr>
        <w:t xml:space="preserve">           </w:t>
      </w:r>
    </w:p>
    <w:p>
      <w:pPr>
        <w:ind w:firstLine="1960" w:firstLineChars="700"/>
        <w:rPr>
          <w:sz w:val="28"/>
        </w:rPr>
      </w:pPr>
    </w:p>
    <w:p>
      <w:pPr>
        <w:ind w:firstLine="1960" w:firstLineChars="700"/>
        <w:rPr>
          <w:rFonts w:hint="eastAsia"/>
          <w:sz w:val="24"/>
          <w:u w:val="single"/>
        </w:rPr>
      </w:pPr>
      <w:r>
        <w:rPr>
          <w:rFonts w:hint="eastAsia"/>
          <w:sz w:val="28"/>
        </w:rPr>
        <w:t xml:space="preserve">姓   名 </w:t>
      </w:r>
      <w:r>
        <w:rPr>
          <w:rFonts w:hint="eastAsia"/>
          <w:sz w:val="30"/>
        </w:rPr>
        <w:t>：</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ascii="黑体" w:hAnsi="黑体" w:eastAsia="黑体"/>
          <w:b/>
          <w:sz w:val="24"/>
          <w:u w:val="single"/>
          <w:lang w:eastAsia="zh-CN"/>
        </w:rPr>
        <w:t>江海全</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ascii="黑体" w:hAnsi="黑体" w:eastAsia="黑体"/>
          <w:b/>
          <w:sz w:val="24"/>
          <w:u w:val="single"/>
        </w:rPr>
        <w:t xml:space="preserve">  </w:t>
      </w:r>
      <w:r>
        <w:rPr>
          <w:rFonts w:hint="eastAsia" w:ascii="黑体" w:hAnsi="黑体" w:eastAsia="黑体"/>
          <w:b/>
          <w:sz w:val="24"/>
          <w:u w:val="single"/>
          <w:lang w:val="en-US" w:eastAsia="zh-CN"/>
        </w:rPr>
        <w:t xml:space="preserve"> </w:t>
      </w:r>
      <w:r>
        <w:rPr>
          <w:rFonts w:hint="eastAsia" w:ascii="黑体" w:hAnsi="黑体" w:eastAsia="黑体"/>
          <w:b/>
          <w:sz w:val="24"/>
          <w:u w:val="single"/>
          <w:lang w:eastAsia="zh-CN"/>
        </w:rPr>
        <w:t>讲师</w:t>
      </w:r>
      <w:r>
        <w:rPr>
          <w:rFonts w:hint="eastAsia" w:ascii="黑体" w:hAnsi="黑体" w:eastAsia="黑体"/>
          <w:b/>
          <w:sz w:val="24"/>
          <w:u w:val="single"/>
        </w:rPr>
        <w:t xml:space="preserve">  </w:t>
      </w:r>
      <w:r>
        <w:rPr>
          <w:rFonts w:hint="eastAsia"/>
          <w:sz w:val="24"/>
          <w:u w:val="single"/>
        </w:rPr>
        <w:t xml:space="preserve">                </w:t>
      </w:r>
    </w:p>
    <w:p>
      <w:pPr>
        <w:ind w:firstLine="1920" w:firstLineChars="800"/>
        <w:rPr>
          <w:sz w:val="24"/>
          <w:u w:val="single"/>
        </w:rPr>
      </w:pPr>
    </w:p>
    <w:p>
      <w:pPr>
        <w:ind w:firstLine="1920" w:firstLineChars="800"/>
        <w:rPr>
          <w:rFonts w:hint="eastAsia" w:eastAsiaTheme="minorEastAsia"/>
          <w:sz w:val="24"/>
          <w:lang w:eastAsia="zh-CN"/>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 </w:t>
      </w:r>
      <w:r>
        <w:rPr>
          <w:rFonts w:hint="eastAsia" w:ascii="黑体" w:hAnsi="黑体" w:eastAsia="黑体"/>
          <w:b/>
          <w:sz w:val="24"/>
          <w:u w:val="single"/>
          <w:lang w:eastAsia="zh-CN"/>
        </w:rPr>
        <w:t>哲学</w:t>
      </w:r>
      <w:r>
        <w:rPr>
          <w:rFonts w:hint="eastAsia" w:ascii="黑体" w:hAnsi="黑体" w:eastAsia="黑体"/>
          <w:b/>
          <w:sz w:val="24"/>
          <w:u w:val="single"/>
        </w:rPr>
        <w:t xml:space="preserve"> </w:t>
      </w:r>
      <w:r>
        <w:rPr>
          <w:rFonts w:hint="eastAsia"/>
          <w:sz w:val="24"/>
          <w:u w:val="single"/>
        </w:rPr>
        <w:t xml:space="preserve">                 </w:t>
      </w:r>
    </w:p>
    <w:p>
      <w:pPr>
        <w:ind w:firstLine="1920" w:firstLineChars="800"/>
        <w:rPr>
          <w:sz w:val="24"/>
        </w:rPr>
      </w:pPr>
      <w:bookmarkStart w:id="0" w:name="_GoBack"/>
      <w:bookmarkEnd w:id="0"/>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ascii="黑体" w:hAnsi="黑体" w:eastAsia="黑体"/>
          <w:b/>
          <w:sz w:val="24"/>
          <w:u w:val="single"/>
          <w:lang w:eastAsia="zh-CN"/>
        </w:rPr>
        <w:t xml:space="preserve"> </w:t>
      </w:r>
      <w:r>
        <w:rPr>
          <w:rFonts w:hint="eastAsia" w:ascii="黑体" w:hAnsi="黑体" w:eastAsia="黑体"/>
          <w:b/>
          <w:sz w:val="24"/>
          <w:u w:val="single"/>
          <w:lang w:val="en-US" w:eastAsia="zh-CN"/>
        </w:rPr>
        <w:t>教学科研并重型</w:t>
      </w:r>
      <w:r>
        <w:rPr>
          <w:rFonts w:hint="eastAsia" w:ascii="黑体" w:hAnsi="黑体" w:eastAsia="黑体"/>
          <w:b/>
          <w:sz w:val="24"/>
          <w:u w:val="single"/>
          <w:lang w:eastAsia="zh-CN"/>
        </w:rPr>
        <w:t xml:space="preserve">副教授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ascii="黑体" w:hAnsi="黑体" w:eastAsia="黑体"/>
          <w:b/>
          <w:sz w:val="24"/>
          <w:u w:val="single"/>
          <w:lang w:val="en-US" w:eastAsia="zh-CN"/>
        </w:rPr>
        <w:t>13368948578</w:t>
      </w:r>
      <w:r>
        <w:rPr>
          <w:rFonts w:hint="eastAsia" w:ascii="黑体" w:hAnsi="黑体" w:eastAsia="黑体"/>
          <w:b/>
          <w:sz w:val="24"/>
          <w:u w:val="single"/>
          <w:lang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 xml:space="preserve">填表时间：    </w:t>
      </w:r>
      <w:r>
        <w:rPr>
          <w:rFonts w:hint="eastAsia"/>
          <w:sz w:val="24"/>
          <w:lang w:val="en-US" w:eastAsia="zh-CN"/>
        </w:rPr>
        <w:t>2018</w:t>
      </w:r>
      <w:r>
        <w:rPr>
          <w:rFonts w:hint="eastAsia"/>
          <w:sz w:val="24"/>
        </w:rPr>
        <w:t>年</w:t>
      </w:r>
      <w:r>
        <w:rPr>
          <w:rFonts w:hint="eastAsia"/>
          <w:sz w:val="24"/>
          <w:lang w:val="en-US" w:eastAsia="zh-CN"/>
        </w:rPr>
        <w:t>11</w:t>
      </w:r>
      <w:r>
        <w:rPr>
          <w:rFonts w:hint="eastAsia"/>
          <w:sz w:val="24"/>
        </w:rPr>
        <w:t>月</w:t>
      </w:r>
      <w:r>
        <w:rPr>
          <w:rFonts w:hint="eastAsia"/>
          <w:sz w:val="24"/>
          <w:lang w:val="en-US" w:eastAsia="zh-CN"/>
        </w:rPr>
        <w:t>2</w:t>
      </w:r>
      <w:r>
        <w:rPr>
          <w:rFonts w:hint="eastAsia"/>
          <w:sz w:val="24"/>
        </w:rPr>
        <w:t>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sz w:val="32"/>
        </w:rPr>
      </w:pPr>
      <w:r>
        <w:rPr>
          <w:rFonts w:hint="eastAsia"/>
          <w:sz w:val="32"/>
        </w:rPr>
        <w:t>2.年月日一律用公历阿拉伯数字填字。</w:t>
      </w:r>
    </w:p>
    <w:p>
      <w:pPr>
        <w:ind w:firstLine="640" w:firstLineChars="200"/>
      </w:pPr>
      <w:r>
        <w:rPr>
          <w:rFonts w:hint="eastAsia"/>
          <w:sz w:val="32"/>
        </w:rPr>
        <w:t>3.“相片”一律用近期一寸正面半身免冠照。</w:t>
      </w:r>
    </w:p>
    <w:p>
      <w:pPr>
        <w:ind w:firstLine="640" w:firstLineChars="200"/>
        <w:rPr>
          <w:sz w:val="32"/>
        </w:rPr>
      </w:pPr>
      <w:r>
        <w:rPr>
          <w:rFonts w:hint="eastAsia"/>
          <w:sz w:val="32"/>
        </w:rPr>
        <w:t>4.“毕业学校”填毕业学校当时的全称。</w:t>
      </w:r>
    </w:p>
    <w:p>
      <w:pPr>
        <w:ind w:firstLine="640" w:firstLineChars="200"/>
        <w:rPr>
          <w:sz w:val="32"/>
        </w:rPr>
      </w:pPr>
      <w:r>
        <w:rPr>
          <w:rFonts w:hint="eastAsia"/>
          <w:sz w:val="32"/>
        </w:rPr>
        <w:t>5.晋升形式：正常晋升或破格晋升或转评。</w:t>
      </w:r>
    </w:p>
    <w:p>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pPr>
        <w:ind w:firstLine="640" w:firstLineChars="200"/>
        <w:rPr>
          <w:sz w:val="32"/>
        </w:rPr>
      </w:pPr>
      <w:r>
        <w:rPr>
          <w:rFonts w:hint="eastAsia"/>
          <w:sz w:val="32"/>
        </w:rPr>
        <w:t>8.学年及学期表达：如2017-2018(一)、2015-2016(二)。</w:t>
      </w:r>
    </w:p>
    <w:p>
      <w:pPr>
        <w:ind w:firstLine="640" w:firstLineChars="200"/>
        <w:rPr>
          <w:sz w:val="32"/>
        </w:rPr>
      </w:pPr>
      <w:r>
        <w:rPr>
          <w:rFonts w:hint="eastAsia"/>
          <w:sz w:val="32"/>
        </w:rPr>
        <w:t>9.如填写表格内容较多，可自行增加行，没有内容的表格可删减行，但至少保留表头及一行，不可全删除。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6"/>
        <w:tblW w:w="9781" w:type="dxa"/>
        <w:tblInd w:w="108" w:type="dxa"/>
        <w:tblLayout w:type="fixed"/>
        <w:tblCellMar>
          <w:top w:w="0" w:type="dxa"/>
          <w:left w:w="108" w:type="dxa"/>
          <w:bottom w:w="0" w:type="dxa"/>
          <w:right w:w="108" w:type="dxa"/>
        </w:tblCellMar>
      </w:tblPr>
      <w:tblGrid>
        <w:gridCol w:w="1207"/>
        <w:gridCol w:w="632"/>
        <w:gridCol w:w="425"/>
        <w:gridCol w:w="141"/>
        <w:gridCol w:w="284"/>
        <w:gridCol w:w="567"/>
        <w:gridCol w:w="283"/>
        <w:gridCol w:w="284"/>
        <w:gridCol w:w="708"/>
        <w:gridCol w:w="289"/>
        <w:gridCol w:w="850"/>
        <w:gridCol w:w="16"/>
        <w:gridCol w:w="263"/>
        <w:gridCol w:w="709"/>
        <w:gridCol w:w="430"/>
        <w:gridCol w:w="276"/>
        <w:gridCol w:w="574"/>
        <w:gridCol w:w="142"/>
        <w:gridCol w:w="141"/>
        <w:gridCol w:w="426"/>
        <w:gridCol w:w="285"/>
        <w:gridCol w:w="849"/>
      </w:tblGrid>
      <w:tr>
        <w:tblPrEx>
          <w:tblLayout w:type="fixed"/>
          <w:tblCellMar>
            <w:top w:w="0" w:type="dxa"/>
            <w:left w:w="108" w:type="dxa"/>
            <w:bottom w:w="0" w:type="dxa"/>
            <w:right w:w="108" w:type="dxa"/>
          </w:tblCellMar>
        </w:tblPrEx>
        <w:trPr>
          <w:trHeight w:val="667" w:hRule="atLeast"/>
        </w:trPr>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姓名</w:t>
            </w:r>
          </w:p>
        </w:tc>
        <w:tc>
          <w:tcPr>
            <w:tcW w:w="1482" w:type="dxa"/>
            <w:gridSpan w:val="4"/>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江海全</w:t>
            </w:r>
          </w:p>
        </w:tc>
        <w:tc>
          <w:tcPr>
            <w:tcW w:w="567" w:type="dxa"/>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男</w:t>
            </w:r>
          </w:p>
        </w:tc>
        <w:tc>
          <w:tcPr>
            <w:tcW w:w="708" w:type="dxa"/>
            <w:tcBorders>
              <w:top w:val="single" w:color="000000" w:sz="4" w:space="0"/>
              <w:left w:val="nil"/>
              <w:bottom w:val="nil"/>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1976年4月</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政治</w:t>
            </w:r>
          </w:p>
          <w:p>
            <w:pPr>
              <w:widowControl/>
              <w:jc w:val="left"/>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中共党员</w:t>
            </w:r>
          </w:p>
        </w:tc>
        <w:tc>
          <w:tcPr>
            <w:tcW w:w="1843" w:type="dxa"/>
            <w:gridSpan w:val="5"/>
            <w:vMerge w:val="restart"/>
            <w:tcBorders>
              <w:top w:val="single" w:color="000000" w:sz="4" w:space="0"/>
              <w:left w:val="nil"/>
              <w:right w:val="single" w:color="000000" w:sz="4" w:space="0"/>
            </w:tcBorders>
            <w:vAlign w:val="center"/>
          </w:tcPr>
          <w:p>
            <w:pPr>
              <w:widowControl/>
              <w:ind w:firstLine="630" w:firstLineChars="300"/>
              <w:jc w:val="left"/>
              <w:rPr>
                <w:rFonts w:ascii="宋体" w:hAnsi="宋体" w:cs="Arial"/>
                <w:color w:val="000000"/>
                <w:kern w:val="0"/>
                <w:szCs w:val="21"/>
              </w:rPr>
            </w:pPr>
            <w:r>
              <w:rPr>
                <w:rFonts w:hint="eastAsia" w:ascii="宋体" w:hAnsi="宋体" w:cs="Arial"/>
                <w:color w:val="000000"/>
                <w:kern w:val="0"/>
                <w:szCs w:val="21"/>
              </w:rPr>
              <w:t>相片</w:t>
            </w:r>
          </w:p>
        </w:tc>
      </w:tr>
      <w:tr>
        <w:tblPrEx>
          <w:tblLayout w:type="fixed"/>
          <w:tblCellMar>
            <w:top w:w="0" w:type="dxa"/>
            <w:left w:w="108" w:type="dxa"/>
            <w:bottom w:w="0" w:type="dxa"/>
            <w:right w:w="108" w:type="dxa"/>
          </w:tblCellMar>
        </w:tblPrEx>
        <w:trPr>
          <w:trHeight w:val="701" w:hRule="atLeast"/>
        </w:trPr>
        <w:tc>
          <w:tcPr>
            <w:tcW w:w="1207" w:type="dxa"/>
            <w:tcBorders>
              <w:top w:val="single" w:color="000000" w:sz="4" w:space="0"/>
              <w:left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教师资格证种类及学科</w:t>
            </w:r>
          </w:p>
        </w:tc>
        <w:tc>
          <w:tcPr>
            <w:tcW w:w="2332" w:type="dxa"/>
            <w:gridSpan w:val="6"/>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eastAsia="zh-CN"/>
              </w:rPr>
              <w:t>高校教师</w:t>
            </w:r>
            <w:r>
              <w:rPr>
                <w:rFonts w:hint="eastAsia" w:ascii="宋体" w:hAnsi="宋体" w:cs="Arial"/>
                <w:color w:val="000000"/>
                <w:kern w:val="0"/>
                <w:szCs w:val="21"/>
                <w:lang w:val="en-US" w:eastAsia="zh-CN"/>
              </w:rPr>
              <w:t>·哲学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41282619760412001X</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最高学历</w:t>
            </w:r>
          </w:p>
          <w:p>
            <w:pPr>
              <w:widowControl/>
              <w:jc w:val="left"/>
              <w:rPr>
                <w:rFonts w:ascii="宋体" w:hAnsi="宋体" w:cs="Arial"/>
                <w:color w:val="000000"/>
                <w:kern w:val="0"/>
                <w:szCs w:val="21"/>
              </w:rPr>
            </w:pPr>
            <w:r>
              <w:rPr>
                <w:rFonts w:hint="eastAsia" w:ascii="宋体" w:hAnsi="宋体" w:cs="Arial"/>
                <w:color w:val="000000"/>
                <w:kern w:val="0"/>
                <w:szCs w:val="21"/>
              </w:rPr>
              <w:t>毕业院校</w:t>
            </w:r>
          </w:p>
        </w:tc>
        <w:tc>
          <w:tcPr>
            <w:tcW w:w="1482" w:type="dxa"/>
            <w:gridSpan w:val="4"/>
            <w:tcBorders>
              <w:top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武汉大学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eastAsia="zh-CN"/>
              </w:rPr>
              <w:t>博士研究生</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哲学</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0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现工作单位</w:t>
            </w:r>
          </w:p>
        </w:tc>
        <w:tc>
          <w:tcPr>
            <w:tcW w:w="1482" w:type="dxa"/>
            <w:gridSpan w:val="4"/>
            <w:tcBorders>
              <w:top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海南师范大学</w:t>
            </w:r>
          </w:p>
        </w:tc>
        <w:tc>
          <w:tcPr>
            <w:tcW w:w="850" w:type="dxa"/>
            <w:gridSpan w:val="2"/>
            <w:vAlign w:val="center"/>
          </w:tcPr>
          <w:p>
            <w:pPr>
              <w:widowControl/>
              <w:jc w:val="left"/>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1997.05</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哲学</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正常晋升</w:t>
            </w:r>
          </w:p>
        </w:tc>
      </w:tr>
      <w:tr>
        <w:tblPrEx>
          <w:tblLayout w:type="fixed"/>
          <w:tblCellMar>
            <w:top w:w="0" w:type="dxa"/>
            <w:left w:w="108" w:type="dxa"/>
            <w:bottom w:w="0" w:type="dxa"/>
            <w:right w:w="108" w:type="dxa"/>
          </w:tblCellMar>
        </w:tblPrEx>
        <w:trPr>
          <w:trHeight w:val="558" w:hRule="atLeast"/>
        </w:trPr>
        <w:tc>
          <w:tcPr>
            <w:tcW w:w="2264" w:type="dxa"/>
            <w:gridSpan w:val="3"/>
            <w:tcBorders>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pPr>
              <w:widowControl/>
              <w:jc w:val="left"/>
              <w:rPr>
                <w:rFonts w:hint="eastAsia" w:ascii="宋体" w:hAnsi="宋体" w:cs="Arial" w:eastAsiaTheme="minorEastAsia"/>
                <w:color w:val="000000"/>
                <w:kern w:val="0"/>
                <w:szCs w:val="21"/>
                <w:lang w:val="en-US" w:eastAsia="zh-CN"/>
              </w:rPr>
            </w:pPr>
            <w:r>
              <w:rPr>
                <w:rFonts w:hint="eastAsia" w:ascii="宋体" w:hAnsi="宋体"/>
                <w:szCs w:val="21"/>
              </w:rPr>
              <w:t>讲师·2010-12</w:t>
            </w:r>
            <w:r>
              <w:rPr>
                <w:rFonts w:hint="eastAsia" w:ascii="宋体" w:hAnsi="宋体"/>
                <w:szCs w:val="21"/>
                <w:lang w:val="en-US" w:eastAsia="zh-CN"/>
              </w:rPr>
              <w:t xml:space="preserve"> </w:t>
            </w:r>
          </w:p>
          <w:p>
            <w:pPr>
              <w:widowControl/>
              <w:jc w:val="left"/>
              <w:rPr>
                <w:rFonts w:ascii="宋体" w:hAnsi="宋体" w:cs="Arial"/>
                <w:color w:val="000000"/>
                <w:kern w:val="0"/>
                <w:szCs w:val="21"/>
              </w:rPr>
            </w:pP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cs="Arial" w:asciiTheme="minorEastAsia" w:hAnsiTheme="minorEastAsia"/>
                <w:color w:val="000000"/>
                <w:kern w:val="0"/>
                <w:szCs w:val="21"/>
              </w:rPr>
              <w:sym w:font="Wingdings 2" w:char="0052"/>
            </w:r>
            <w:r>
              <w:rPr>
                <w:rFonts w:hint="eastAsia" w:ascii="宋体" w:hAnsi="宋体" w:cs="Arial"/>
                <w:color w:val="000000"/>
                <w:kern w:val="0"/>
                <w:szCs w:val="21"/>
              </w:rPr>
              <w:t xml:space="preserve">人文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理工 </w:t>
            </w:r>
            <w:r>
              <w:rPr>
                <w:rFonts w:hint="eastAsia" w:cs="Arial" w:asciiTheme="minorEastAsia" w:hAnsiTheme="minorEastAsia"/>
                <w:color w:val="000000"/>
                <w:kern w:val="0"/>
                <w:szCs w:val="21"/>
              </w:rPr>
              <w:t>□</w:t>
            </w:r>
            <w:r>
              <w:rPr>
                <w:rFonts w:hint="eastAsia" w:ascii="宋体" w:hAnsi="宋体" w:cs="Arial"/>
                <w:color w:val="000000"/>
                <w:kern w:val="0"/>
                <w:szCs w:val="21"/>
              </w:rPr>
              <w:t>艺体外</w:t>
            </w:r>
          </w:p>
          <w:p>
            <w:pPr>
              <w:widowControl/>
              <w:jc w:val="left"/>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学科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实验 </w:t>
            </w:r>
            <w:r>
              <w:rPr>
                <w:rFonts w:hint="eastAsia" w:cs="Arial" w:asciiTheme="minorEastAsia" w:hAnsiTheme="minorEastAsia"/>
                <w:color w:val="000000"/>
                <w:kern w:val="0"/>
                <w:szCs w:val="21"/>
              </w:rPr>
              <w:t>□</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外语</w:t>
            </w:r>
          </w:p>
          <w:p>
            <w:pPr>
              <w:widowControl/>
              <w:jc w:val="left"/>
              <w:rPr>
                <w:rFonts w:ascii="宋体" w:hAns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免</w:t>
            </w:r>
          </w:p>
        </w:tc>
      </w:tr>
      <w:tr>
        <w:tblPrEx>
          <w:tblLayout w:type="fixed"/>
          <w:tblCellMar>
            <w:top w:w="0" w:type="dxa"/>
            <w:left w:w="108" w:type="dxa"/>
            <w:bottom w:w="0" w:type="dxa"/>
            <w:right w:w="108" w:type="dxa"/>
          </w:tblCellMar>
        </w:tblPrEx>
        <w:trPr>
          <w:trHeight w:val="156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pPr>
              <w:ind w:firstLine="90" w:firstLineChars="50"/>
              <w:jc w:val="left"/>
              <w:rPr>
                <w:rFonts w:hint="eastAsia" w:ascii="宋体" w:hAnsi="宋体"/>
                <w:sz w:val="18"/>
                <w:szCs w:val="18"/>
                <w:lang w:val="en-US" w:eastAsia="zh-CN"/>
              </w:rPr>
            </w:pPr>
            <w:r>
              <w:rPr>
                <w:rFonts w:hint="eastAsia" w:ascii="宋体" w:hAnsi="宋体"/>
                <w:sz w:val="18"/>
                <w:szCs w:val="18"/>
              </w:rPr>
              <w:t>2010-12·华中师范大学汉口分校(现更名汉口学院)</w:t>
            </w:r>
            <w:r>
              <w:rPr>
                <w:rFonts w:hint="eastAsia" w:ascii="宋体" w:hAnsi="宋体"/>
                <w:sz w:val="18"/>
                <w:szCs w:val="18"/>
                <w:lang w:val="en-US" w:eastAsia="zh-CN"/>
              </w:rPr>
              <w:t xml:space="preserve"> 2015-12·海南省人力资源和社会保障厅再次确认证书</w:t>
            </w:r>
          </w:p>
          <w:p>
            <w:pPr>
              <w:widowControl/>
              <w:jc w:val="left"/>
              <w:rPr>
                <w:rFonts w:ascii="宋体" w:hAnsi="宋体" w:cs="Arial"/>
                <w:color w:val="000000"/>
                <w:kern w:val="0"/>
                <w:szCs w:val="21"/>
              </w:rPr>
            </w:pPr>
          </w:p>
        </w:tc>
        <w:tc>
          <w:tcPr>
            <w:tcW w:w="1155"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年</w:t>
            </w:r>
            <w:r>
              <w:rPr>
                <w:rFonts w:hint="eastAsia" w:ascii="宋体" w:hAnsi="宋体" w:cs="Arial"/>
                <w:color w:val="000000"/>
                <w:kern w:val="0"/>
                <w:szCs w:val="21"/>
                <w:lang w:val="en-US" w:eastAsia="zh-CN"/>
              </w:rPr>
              <w:t>11</w:t>
            </w:r>
            <w:r>
              <w:rPr>
                <w:rFonts w:hint="eastAsia" w:ascii="宋体" w:hAnsi="宋体" w:cs="Arial"/>
                <w:color w:val="000000"/>
                <w:kern w:val="0"/>
                <w:szCs w:val="21"/>
              </w:rPr>
              <w:t>个月</w:t>
            </w:r>
          </w:p>
        </w:tc>
        <w:tc>
          <w:tcPr>
            <w:tcW w:w="857" w:type="dxa"/>
            <w:gridSpan w:val="3"/>
            <w:tcBorders>
              <w:right w:val="single" w:color="auto"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高等学校教师资格</w:t>
            </w:r>
          </w:p>
        </w:tc>
      </w:tr>
      <w:tr>
        <w:tblPrEx>
          <w:tblLayout w:type="fixed"/>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9"/>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哲学</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教学科研并重型副教授</w:t>
            </w:r>
          </w:p>
        </w:tc>
      </w:tr>
      <w:tr>
        <w:tblPrEx>
          <w:tblLayout w:type="fixed"/>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19"/>
            <w:tcBorders>
              <w:top w:val="single" w:color="000000" w:sz="4" w:space="0"/>
              <w:left w:val="nil"/>
              <w:bottom w:val="single" w:color="auto"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szCs w:val="21"/>
                <w:lang w:val="en-US" w:eastAsia="zh-CN"/>
              </w:rPr>
              <w:t>2016年海南省高校思想政治理论课青年教师教学基本功比赛三等奖</w:t>
            </w:r>
          </w:p>
        </w:tc>
      </w:tr>
      <w:tr>
        <w:tblPrEx>
          <w:tblLayout w:type="fixed"/>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破格申请条件</w:t>
            </w:r>
          </w:p>
          <w:p>
            <w:pPr>
              <w:jc w:val="left"/>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9"/>
            <w:tcBorders>
              <w:top w:val="single" w:color="auto" w:sz="4" w:space="0"/>
              <w:left w:val="nil"/>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Layout w:type="fixed"/>
          <w:tblCellMar>
            <w:top w:w="0" w:type="dxa"/>
            <w:left w:w="108" w:type="dxa"/>
            <w:bottom w:w="0" w:type="dxa"/>
            <w:right w:w="108" w:type="dxa"/>
          </w:tblCellMar>
        </w:tblPrEx>
        <w:trPr>
          <w:trHeight w:val="657" w:hRule="atLeast"/>
        </w:trPr>
        <w:tc>
          <w:tcPr>
            <w:tcW w:w="9781" w:type="dxa"/>
            <w:gridSpan w:val="2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学习培训经历</w:t>
            </w:r>
          </w:p>
          <w:p>
            <w:pPr>
              <w:widowControl/>
              <w:jc w:val="left"/>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起止时间</w:t>
            </w:r>
          </w:p>
        </w:tc>
        <w:tc>
          <w:tcPr>
            <w:tcW w:w="850" w:type="dxa"/>
            <w:gridSpan w:val="3"/>
            <w:tcBorders>
              <w:top w:val="single" w:color="000000" w:sz="4" w:space="0"/>
              <w:left w:val="nil"/>
              <w:bottom w:val="single" w:color="000000" w:sz="4" w:space="0"/>
              <w:right w:val="single" w:color="auto"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学习形式</w:t>
            </w:r>
          </w:p>
        </w:tc>
        <w:tc>
          <w:tcPr>
            <w:tcW w:w="2131" w:type="dxa"/>
            <w:gridSpan w:val="5"/>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国</w:t>
            </w:r>
          </w:p>
          <w:p>
            <w:pPr>
              <w:widowControl/>
              <w:jc w:val="left"/>
              <w:rPr>
                <w:rFonts w:ascii="宋体" w:hAns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证明人</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Arial"/>
                <w:color w:val="000000" w:themeColor="text1"/>
                <w:kern w:val="0"/>
                <w:szCs w:val="21"/>
              </w:rPr>
            </w:pPr>
            <w:r>
              <w:rPr>
                <w:rFonts w:hint="eastAsia" w:ascii="宋体" w:hAnsi="宋体"/>
                <w:color w:val="000000" w:themeColor="text1"/>
                <w:szCs w:val="21"/>
              </w:rPr>
              <w:t>1994.9-1996.6</w:t>
            </w:r>
          </w:p>
        </w:tc>
        <w:tc>
          <w:tcPr>
            <w:tcW w:w="850" w:type="dxa"/>
            <w:gridSpan w:val="3"/>
            <w:tcBorders>
              <w:top w:val="single" w:color="000000" w:sz="4" w:space="0"/>
              <w:left w:val="nil"/>
              <w:bottom w:val="single" w:color="000000" w:sz="4" w:space="0"/>
              <w:right w:val="single" w:color="auto" w:sz="4" w:space="0"/>
            </w:tcBorders>
            <w:vAlign w:val="center"/>
          </w:tcPr>
          <w:p>
            <w:pPr>
              <w:widowControl/>
              <w:jc w:val="left"/>
              <w:rPr>
                <w:rFonts w:hint="eastAsia" w:ascii="宋体" w:hAnsi="宋体" w:cs="Arial" w:eastAsiaTheme="minorEastAsia"/>
                <w:color w:val="000000" w:themeColor="text1"/>
                <w:kern w:val="0"/>
                <w:szCs w:val="21"/>
                <w:lang w:eastAsia="zh-CN"/>
              </w:rPr>
            </w:pPr>
            <w:r>
              <w:rPr>
                <w:rFonts w:hint="eastAsia" w:ascii="宋体" w:hAnsi="宋体" w:cs="Arial"/>
                <w:color w:val="000000" w:themeColor="text1"/>
                <w:kern w:val="0"/>
                <w:szCs w:val="21"/>
                <w:lang w:eastAsia="zh-CN"/>
              </w:rPr>
              <w:t>全日制</w:t>
            </w:r>
          </w:p>
        </w:tc>
        <w:tc>
          <w:tcPr>
            <w:tcW w:w="2131" w:type="dxa"/>
            <w:gridSpan w:val="5"/>
            <w:tcBorders>
              <w:top w:val="single" w:color="000000" w:sz="4" w:space="0"/>
              <w:left w:val="single" w:color="auto" w:sz="4" w:space="0"/>
              <w:bottom w:val="single" w:color="000000" w:sz="4" w:space="0"/>
              <w:right w:val="single" w:color="000000" w:sz="4" w:space="0"/>
            </w:tcBorders>
            <w:vAlign w:val="center"/>
          </w:tcPr>
          <w:p>
            <w:pPr>
              <w:widowControl/>
              <w:jc w:val="left"/>
              <w:rPr>
                <w:rFonts w:hint="eastAsia" w:ascii="宋体" w:hAnsi="宋体" w:cs="Arial" w:eastAsiaTheme="minorEastAsia"/>
                <w:color w:val="000000" w:themeColor="text1"/>
                <w:kern w:val="0"/>
                <w:szCs w:val="21"/>
                <w:lang w:eastAsia="zh-CN"/>
              </w:rPr>
            </w:pPr>
            <w:r>
              <w:rPr>
                <w:rFonts w:hint="eastAsia" w:ascii="宋体" w:hAnsi="宋体"/>
                <w:color w:val="000000" w:themeColor="text1"/>
                <w:szCs w:val="21"/>
              </w:rPr>
              <w:t>平顶山城建环保高等专科学校</w:t>
            </w:r>
            <w:r>
              <w:rPr>
                <w:rFonts w:hint="eastAsia" w:ascii="宋体" w:hAnsi="宋体"/>
                <w:color w:val="000000" w:themeColor="text1"/>
                <w:szCs w:val="21"/>
                <w:lang w:eastAsia="zh-CN"/>
              </w:rPr>
              <w:t>（现更名河南城建学院）</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left"/>
              <w:rPr>
                <w:rFonts w:ascii="宋体" w:hAnsi="宋体" w:cs="Arial"/>
                <w:color w:val="000000" w:themeColor="text1"/>
                <w:kern w:val="0"/>
                <w:szCs w:val="21"/>
              </w:rPr>
            </w:pPr>
            <w:r>
              <w:rPr>
                <w:rFonts w:hint="eastAsia" w:ascii="宋体" w:hAnsi="宋体"/>
                <w:color w:val="000000" w:themeColor="text1"/>
                <w:szCs w:val="21"/>
              </w:rPr>
              <w:t>环境管理</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left"/>
              <w:rPr>
                <w:rFonts w:hint="eastAsia" w:ascii="宋体" w:hAnsi="宋体" w:cs="Arial" w:eastAsiaTheme="minorEastAsia"/>
                <w:color w:val="000000" w:themeColor="text1"/>
                <w:kern w:val="0"/>
                <w:szCs w:val="21"/>
                <w:lang w:eastAsia="zh-CN"/>
              </w:rPr>
            </w:pPr>
            <w:r>
              <w:rPr>
                <w:rFonts w:hint="eastAsia" w:ascii="宋体" w:hAnsi="宋体" w:cs="Arial"/>
                <w:color w:val="000000" w:themeColor="text1"/>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left"/>
              <w:rPr>
                <w:rFonts w:hint="eastAsia" w:ascii="宋体" w:hAnsi="宋体" w:cs="Arial" w:eastAsiaTheme="minorEastAsia"/>
                <w:color w:val="000000" w:themeColor="text1"/>
                <w:kern w:val="0"/>
                <w:szCs w:val="21"/>
                <w:lang w:eastAsia="zh-CN"/>
              </w:rPr>
            </w:pPr>
            <w:r>
              <w:rPr>
                <w:rFonts w:hint="eastAsia" w:ascii="宋体" w:hAnsi="宋体" w:cs="Arial"/>
                <w:color w:val="000000" w:themeColor="text1"/>
                <w:kern w:val="0"/>
                <w:szCs w:val="21"/>
                <w:lang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themeColor="text1"/>
                <w:kern w:val="0"/>
                <w:szCs w:val="21"/>
              </w:rPr>
            </w:pPr>
            <w:r>
              <w:rPr>
                <w:rFonts w:hint="eastAsia" w:ascii="宋体" w:hAnsi="宋体"/>
                <w:color w:val="000000" w:themeColor="text1"/>
                <w:szCs w:val="21"/>
              </w:rPr>
              <w:t>刘贵明</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Arial"/>
                <w:color w:val="000000" w:themeColor="text1"/>
                <w:kern w:val="0"/>
                <w:szCs w:val="21"/>
              </w:rPr>
            </w:pPr>
            <w:r>
              <w:rPr>
                <w:rFonts w:hint="eastAsia" w:ascii="宋体" w:hAnsi="宋体"/>
                <w:color w:val="000000" w:themeColor="text1"/>
                <w:szCs w:val="21"/>
              </w:rPr>
              <w:t>1997.04-2002.12</w:t>
            </w:r>
          </w:p>
        </w:tc>
        <w:tc>
          <w:tcPr>
            <w:tcW w:w="850" w:type="dxa"/>
            <w:gridSpan w:val="3"/>
            <w:tcBorders>
              <w:top w:val="single" w:color="000000" w:sz="4" w:space="0"/>
              <w:left w:val="nil"/>
              <w:bottom w:val="single" w:color="000000" w:sz="4" w:space="0"/>
              <w:right w:val="single" w:color="auto" w:sz="4" w:space="0"/>
            </w:tcBorders>
            <w:vAlign w:val="top"/>
          </w:tcPr>
          <w:p>
            <w:pPr>
              <w:jc w:val="left"/>
              <w:rPr>
                <w:rFonts w:hint="eastAsia" w:ascii="宋体" w:hAnsi="宋体" w:cs="Arial" w:eastAsiaTheme="minorEastAsia"/>
                <w:color w:val="000000" w:themeColor="text1"/>
                <w:kern w:val="0"/>
                <w:szCs w:val="21"/>
                <w:lang w:eastAsia="zh-CN"/>
              </w:rPr>
            </w:pPr>
            <w:r>
              <w:rPr>
                <w:rFonts w:hint="eastAsia" w:ascii="宋体" w:hAnsi="宋体" w:cs="Arial"/>
                <w:color w:val="000000" w:themeColor="text1"/>
                <w:kern w:val="0"/>
                <w:szCs w:val="21"/>
                <w:lang w:eastAsia="zh-CN"/>
              </w:rPr>
              <w:t>成教本科</w:t>
            </w:r>
          </w:p>
        </w:tc>
        <w:tc>
          <w:tcPr>
            <w:tcW w:w="2131" w:type="dxa"/>
            <w:gridSpan w:val="5"/>
            <w:tcBorders>
              <w:top w:val="single" w:color="000000" w:sz="4" w:space="0"/>
              <w:left w:val="single" w:color="auto" w:sz="4" w:space="0"/>
              <w:bottom w:val="single" w:color="000000" w:sz="4" w:space="0"/>
              <w:right w:val="single" w:color="000000" w:sz="4" w:space="0"/>
            </w:tcBorders>
            <w:vAlign w:val="top"/>
          </w:tcPr>
          <w:p>
            <w:pPr>
              <w:jc w:val="left"/>
              <w:rPr>
                <w:rFonts w:hint="eastAsia" w:ascii="宋体" w:hAnsi="宋体"/>
                <w:color w:val="000000" w:themeColor="text1"/>
                <w:szCs w:val="21"/>
              </w:rPr>
            </w:pPr>
            <w:r>
              <w:rPr>
                <w:rFonts w:hint="eastAsia" w:ascii="宋体" w:hAnsi="宋体"/>
                <w:color w:val="000000" w:themeColor="text1"/>
                <w:szCs w:val="21"/>
              </w:rPr>
              <w:t>河南大学</w:t>
            </w:r>
          </w:p>
          <w:p>
            <w:pPr>
              <w:jc w:val="left"/>
              <w:rPr>
                <w:rFonts w:ascii="宋体" w:hAnsi="宋体" w:cs="Arial"/>
                <w:color w:val="000000" w:themeColor="text1"/>
                <w:kern w:val="0"/>
                <w:szCs w:val="21"/>
              </w:rPr>
            </w:pPr>
          </w:p>
        </w:tc>
        <w:tc>
          <w:tcPr>
            <w:tcW w:w="2268" w:type="dxa"/>
            <w:gridSpan w:val="5"/>
            <w:tcBorders>
              <w:top w:val="single" w:color="000000" w:sz="4" w:space="0"/>
              <w:left w:val="nil"/>
              <w:bottom w:val="single" w:color="000000" w:sz="4" w:space="0"/>
              <w:right w:val="single" w:color="auto" w:sz="4" w:space="0"/>
            </w:tcBorders>
            <w:vAlign w:val="top"/>
          </w:tcPr>
          <w:p>
            <w:pPr>
              <w:jc w:val="left"/>
              <w:rPr>
                <w:rFonts w:ascii="宋体" w:hAnsi="宋体" w:cs="Arial"/>
                <w:color w:val="000000" w:themeColor="text1"/>
                <w:kern w:val="0"/>
                <w:szCs w:val="21"/>
              </w:rPr>
            </w:pPr>
            <w:r>
              <w:rPr>
                <w:rFonts w:hint="eastAsia" w:ascii="宋体" w:hAnsi="宋体"/>
                <w:color w:val="000000" w:themeColor="text1"/>
                <w:szCs w:val="21"/>
              </w:rPr>
              <w:t>汉语言文学</w:t>
            </w:r>
          </w:p>
        </w:tc>
        <w:tc>
          <w:tcPr>
            <w:tcW w:w="850" w:type="dxa"/>
            <w:gridSpan w:val="2"/>
            <w:tcBorders>
              <w:top w:val="single" w:color="000000" w:sz="4" w:space="0"/>
              <w:left w:val="single" w:color="auto" w:sz="4" w:space="0"/>
              <w:bottom w:val="single" w:color="000000" w:sz="4" w:space="0"/>
              <w:right w:val="single" w:color="000000" w:sz="4" w:space="0"/>
            </w:tcBorders>
            <w:vAlign w:val="top"/>
          </w:tcPr>
          <w:p>
            <w:pPr>
              <w:jc w:val="left"/>
              <w:rPr>
                <w:rFonts w:hint="eastAsia" w:ascii="宋体" w:hAnsi="宋体" w:cs="Arial" w:eastAsiaTheme="minorEastAsia"/>
                <w:color w:val="000000" w:themeColor="text1"/>
                <w:kern w:val="0"/>
                <w:szCs w:val="21"/>
                <w:lang w:eastAsia="zh-CN"/>
              </w:rPr>
            </w:pPr>
            <w:r>
              <w:rPr>
                <w:rFonts w:hint="eastAsia" w:ascii="宋体" w:hAnsi="宋体" w:cs="Arial"/>
                <w:color w:val="000000" w:themeColor="text1"/>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vAlign w:val="top"/>
          </w:tcPr>
          <w:p>
            <w:pPr>
              <w:jc w:val="left"/>
              <w:rPr>
                <w:rFonts w:ascii="宋体" w:hAnsi="宋体" w:cs="Arial"/>
                <w:color w:val="000000" w:themeColor="text1"/>
                <w:kern w:val="0"/>
                <w:szCs w:val="21"/>
              </w:rPr>
            </w:pPr>
            <w:r>
              <w:rPr>
                <w:rFonts w:hint="eastAsia" w:ascii="宋体" w:hAnsi="宋体" w:cs="Arial"/>
                <w:color w:val="000000" w:themeColor="text1"/>
                <w:kern w:val="0"/>
                <w:szCs w:val="21"/>
                <w:lang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top"/>
          </w:tcPr>
          <w:p>
            <w:pPr>
              <w:jc w:val="left"/>
              <w:rPr>
                <w:rFonts w:ascii="宋体" w:hAnsi="宋体" w:cs="Arial"/>
                <w:color w:val="000000" w:themeColor="text1"/>
                <w:kern w:val="0"/>
                <w:szCs w:val="21"/>
              </w:rPr>
            </w:pPr>
            <w:r>
              <w:rPr>
                <w:rFonts w:hint="eastAsia" w:ascii="宋体" w:hAnsi="宋体"/>
                <w:color w:val="000000" w:themeColor="text1"/>
                <w:szCs w:val="21"/>
              </w:rPr>
              <w:t>贺献龙</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Arial"/>
                <w:color w:val="000000" w:themeColor="text1"/>
                <w:kern w:val="0"/>
                <w:szCs w:val="21"/>
              </w:rPr>
            </w:pPr>
            <w:r>
              <w:rPr>
                <w:rFonts w:hint="eastAsia" w:ascii="宋体" w:hAnsi="宋体"/>
                <w:color w:val="000000" w:themeColor="text1"/>
                <w:szCs w:val="21"/>
              </w:rPr>
              <w:t>2005.9-2008.6</w:t>
            </w:r>
          </w:p>
        </w:tc>
        <w:tc>
          <w:tcPr>
            <w:tcW w:w="850" w:type="dxa"/>
            <w:gridSpan w:val="3"/>
            <w:tcBorders>
              <w:top w:val="single" w:color="000000" w:sz="4" w:space="0"/>
              <w:left w:val="nil"/>
              <w:bottom w:val="single" w:color="000000" w:sz="4" w:space="0"/>
              <w:right w:val="single" w:color="auto" w:sz="4" w:space="0"/>
            </w:tcBorders>
            <w:vAlign w:val="top"/>
          </w:tcPr>
          <w:p>
            <w:pPr>
              <w:jc w:val="left"/>
              <w:rPr>
                <w:rFonts w:ascii="宋体" w:hAnsi="宋体" w:cs="Arial"/>
                <w:color w:val="000000" w:themeColor="text1"/>
                <w:kern w:val="0"/>
                <w:szCs w:val="21"/>
              </w:rPr>
            </w:pPr>
            <w:r>
              <w:rPr>
                <w:rFonts w:hint="eastAsia" w:ascii="宋体" w:hAnsi="宋体" w:cs="Arial"/>
                <w:color w:val="000000" w:themeColor="text1"/>
                <w:kern w:val="0"/>
                <w:szCs w:val="21"/>
                <w:lang w:eastAsia="zh-CN"/>
              </w:rPr>
              <w:t>全日制</w:t>
            </w:r>
          </w:p>
        </w:tc>
        <w:tc>
          <w:tcPr>
            <w:tcW w:w="2131" w:type="dxa"/>
            <w:gridSpan w:val="5"/>
            <w:tcBorders>
              <w:top w:val="single" w:color="000000" w:sz="4" w:space="0"/>
              <w:left w:val="single" w:color="auto" w:sz="4" w:space="0"/>
              <w:bottom w:val="single" w:color="000000" w:sz="4" w:space="0"/>
              <w:right w:val="single" w:color="000000" w:sz="4" w:space="0"/>
            </w:tcBorders>
            <w:vAlign w:val="top"/>
          </w:tcPr>
          <w:p>
            <w:pPr>
              <w:jc w:val="left"/>
              <w:rPr>
                <w:rFonts w:ascii="宋体" w:hAnsi="宋体" w:cs="Arial"/>
                <w:color w:val="000000" w:themeColor="text1"/>
                <w:kern w:val="0"/>
                <w:szCs w:val="21"/>
              </w:rPr>
            </w:pPr>
            <w:r>
              <w:rPr>
                <w:rFonts w:hint="eastAsia" w:ascii="宋体" w:hAnsi="宋体"/>
                <w:color w:val="000000" w:themeColor="text1"/>
                <w:szCs w:val="21"/>
              </w:rPr>
              <w:t>华中师范大学</w:t>
            </w:r>
          </w:p>
        </w:tc>
        <w:tc>
          <w:tcPr>
            <w:tcW w:w="2268" w:type="dxa"/>
            <w:gridSpan w:val="5"/>
            <w:tcBorders>
              <w:top w:val="single" w:color="000000" w:sz="4" w:space="0"/>
              <w:left w:val="nil"/>
              <w:bottom w:val="single" w:color="000000" w:sz="4" w:space="0"/>
              <w:right w:val="single" w:color="auto" w:sz="4" w:space="0"/>
            </w:tcBorders>
            <w:vAlign w:val="top"/>
          </w:tcPr>
          <w:p>
            <w:pPr>
              <w:jc w:val="left"/>
              <w:rPr>
                <w:rFonts w:ascii="宋体" w:hAnsi="宋体" w:cs="Arial"/>
                <w:color w:val="000000" w:themeColor="text1"/>
                <w:kern w:val="0"/>
                <w:szCs w:val="21"/>
              </w:rPr>
            </w:pPr>
            <w:r>
              <w:rPr>
                <w:rFonts w:hint="eastAsia" w:ascii="宋体" w:hAnsi="宋体"/>
                <w:color w:val="000000" w:themeColor="text1"/>
                <w:szCs w:val="21"/>
              </w:rPr>
              <w:t>马克思主义哲学</w:t>
            </w:r>
          </w:p>
        </w:tc>
        <w:tc>
          <w:tcPr>
            <w:tcW w:w="850" w:type="dxa"/>
            <w:gridSpan w:val="2"/>
            <w:tcBorders>
              <w:top w:val="single" w:color="000000" w:sz="4" w:space="0"/>
              <w:left w:val="single" w:color="auto" w:sz="4" w:space="0"/>
              <w:bottom w:val="single" w:color="000000" w:sz="4" w:space="0"/>
              <w:right w:val="single" w:color="000000" w:sz="4" w:space="0"/>
            </w:tcBorders>
            <w:vAlign w:val="top"/>
          </w:tcPr>
          <w:p>
            <w:pPr>
              <w:jc w:val="left"/>
              <w:rPr>
                <w:rFonts w:ascii="宋体" w:hAnsi="宋体" w:cs="Arial"/>
                <w:color w:val="000000" w:themeColor="text1"/>
                <w:kern w:val="0"/>
                <w:szCs w:val="21"/>
              </w:rPr>
            </w:pPr>
            <w:r>
              <w:rPr>
                <w:rFonts w:hint="eastAsia" w:ascii="宋体" w:hAnsi="宋体" w:cs="Arial"/>
                <w:color w:val="000000" w:themeColor="text1"/>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vAlign w:val="top"/>
          </w:tcPr>
          <w:p>
            <w:pPr>
              <w:jc w:val="left"/>
              <w:rPr>
                <w:rFonts w:ascii="宋体" w:hAnsi="宋体" w:cs="Arial"/>
                <w:color w:val="000000" w:themeColor="text1"/>
                <w:kern w:val="0"/>
                <w:szCs w:val="21"/>
              </w:rPr>
            </w:pPr>
            <w:r>
              <w:rPr>
                <w:rFonts w:hint="eastAsia" w:ascii="宋体" w:hAnsi="宋体" w:cs="Arial"/>
                <w:color w:val="000000" w:themeColor="text1"/>
                <w:kern w:val="0"/>
                <w:szCs w:val="21"/>
                <w:lang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top"/>
          </w:tcPr>
          <w:p>
            <w:pPr>
              <w:jc w:val="left"/>
              <w:rPr>
                <w:rFonts w:ascii="宋体" w:hAnsi="宋体" w:cs="Arial"/>
                <w:color w:val="000000" w:themeColor="text1"/>
                <w:kern w:val="0"/>
                <w:szCs w:val="21"/>
              </w:rPr>
            </w:pPr>
            <w:r>
              <w:rPr>
                <w:rFonts w:hint="eastAsia" w:ascii="宋体" w:hAnsi="宋体"/>
                <w:color w:val="000000" w:themeColor="text1"/>
                <w:szCs w:val="21"/>
              </w:rPr>
              <w:t>林剑</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cs="Arial" w:eastAsiaTheme="minorEastAsia"/>
                <w:color w:val="000000" w:themeColor="text1"/>
                <w:kern w:val="0"/>
                <w:szCs w:val="21"/>
                <w:lang w:val="en-US" w:eastAsia="zh-CN"/>
              </w:rPr>
            </w:pPr>
            <w:r>
              <w:rPr>
                <w:rFonts w:hint="eastAsia" w:ascii="宋体" w:hAnsi="宋体"/>
                <w:color w:val="000000" w:themeColor="text1"/>
                <w:szCs w:val="21"/>
              </w:rPr>
              <w:t>2011.9-2015.6</w:t>
            </w:r>
          </w:p>
        </w:tc>
        <w:tc>
          <w:tcPr>
            <w:tcW w:w="850" w:type="dxa"/>
            <w:gridSpan w:val="3"/>
            <w:tcBorders>
              <w:top w:val="single" w:color="000000" w:sz="4" w:space="0"/>
              <w:left w:val="nil"/>
              <w:bottom w:val="single" w:color="000000" w:sz="4" w:space="0"/>
              <w:right w:val="single" w:color="auto" w:sz="4" w:space="0"/>
            </w:tcBorders>
            <w:vAlign w:val="top"/>
          </w:tcPr>
          <w:p>
            <w:pPr>
              <w:jc w:val="left"/>
              <w:rPr>
                <w:rFonts w:ascii="宋体" w:hAnsi="宋体" w:cs="Arial"/>
                <w:color w:val="000000" w:themeColor="text1"/>
                <w:kern w:val="0"/>
                <w:szCs w:val="21"/>
                <w:lang w:val="en-US"/>
              </w:rPr>
            </w:pPr>
            <w:r>
              <w:rPr>
                <w:rFonts w:hint="eastAsia" w:ascii="宋体" w:hAnsi="宋体" w:cs="Arial"/>
                <w:color w:val="000000" w:themeColor="text1"/>
                <w:kern w:val="0"/>
                <w:szCs w:val="21"/>
                <w:lang w:eastAsia="zh-CN"/>
              </w:rPr>
              <w:t>全日制</w:t>
            </w:r>
          </w:p>
        </w:tc>
        <w:tc>
          <w:tcPr>
            <w:tcW w:w="2131" w:type="dxa"/>
            <w:gridSpan w:val="5"/>
            <w:tcBorders>
              <w:top w:val="single" w:color="000000" w:sz="4" w:space="0"/>
              <w:left w:val="single" w:color="auto" w:sz="4" w:space="0"/>
              <w:bottom w:val="single" w:color="000000" w:sz="4" w:space="0"/>
              <w:right w:val="single" w:color="000000" w:sz="4" w:space="0"/>
            </w:tcBorders>
            <w:vAlign w:val="top"/>
          </w:tcPr>
          <w:p>
            <w:pPr>
              <w:jc w:val="left"/>
              <w:rPr>
                <w:rFonts w:hint="eastAsia" w:ascii="宋体" w:hAnsi="宋体"/>
                <w:color w:val="000000" w:themeColor="text1"/>
                <w:szCs w:val="21"/>
              </w:rPr>
            </w:pPr>
            <w:r>
              <w:rPr>
                <w:rFonts w:hint="eastAsia" w:ascii="宋体" w:hAnsi="宋体"/>
                <w:color w:val="000000" w:themeColor="text1"/>
                <w:szCs w:val="21"/>
              </w:rPr>
              <w:t>武汉大学</w:t>
            </w:r>
          </w:p>
          <w:p>
            <w:pPr>
              <w:jc w:val="left"/>
              <w:rPr>
                <w:rFonts w:ascii="宋体" w:hAnsi="宋体" w:cs="Arial"/>
                <w:color w:val="000000" w:themeColor="text1"/>
                <w:kern w:val="0"/>
                <w:szCs w:val="21"/>
                <w:lang w:val="en-US"/>
              </w:rPr>
            </w:pPr>
          </w:p>
        </w:tc>
        <w:tc>
          <w:tcPr>
            <w:tcW w:w="2268" w:type="dxa"/>
            <w:gridSpan w:val="5"/>
            <w:tcBorders>
              <w:top w:val="single" w:color="000000" w:sz="4" w:space="0"/>
              <w:left w:val="nil"/>
              <w:bottom w:val="single" w:color="000000" w:sz="4" w:space="0"/>
              <w:right w:val="single" w:color="auto" w:sz="4" w:space="0"/>
            </w:tcBorders>
            <w:vAlign w:val="top"/>
          </w:tcPr>
          <w:p>
            <w:pPr>
              <w:jc w:val="left"/>
              <w:rPr>
                <w:rFonts w:ascii="宋体" w:hAnsi="宋体" w:cs="Arial"/>
                <w:color w:val="000000" w:themeColor="text1"/>
                <w:kern w:val="0"/>
                <w:szCs w:val="21"/>
                <w:lang w:val="en-US"/>
              </w:rPr>
            </w:pPr>
            <w:r>
              <w:rPr>
                <w:rFonts w:hint="eastAsia" w:ascii="宋体" w:hAnsi="宋体"/>
                <w:color w:val="000000" w:themeColor="text1"/>
                <w:szCs w:val="21"/>
              </w:rPr>
              <w:t>外国哲学</w:t>
            </w:r>
          </w:p>
        </w:tc>
        <w:tc>
          <w:tcPr>
            <w:tcW w:w="850" w:type="dxa"/>
            <w:gridSpan w:val="2"/>
            <w:tcBorders>
              <w:top w:val="single" w:color="000000" w:sz="4" w:space="0"/>
              <w:left w:val="single" w:color="auto" w:sz="4" w:space="0"/>
              <w:bottom w:val="single" w:color="000000" w:sz="4" w:space="0"/>
              <w:right w:val="single" w:color="000000" w:sz="4" w:space="0"/>
            </w:tcBorders>
            <w:vAlign w:val="top"/>
          </w:tcPr>
          <w:p>
            <w:pPr>
              <w:jc w:val="left"/>
              <w:rPr>
                <w:rFonts w:ascii="宋体" w:hAnsi="宋体" w:cs="Arial"/>
                <w:color w:val="000000" w:themeColor="text1"/>
                <w:kern w:val="0"/>
                <w:szCs w:val="21"/>
                <w:lang w:val="en-US"/>
              </w:rPr>
            </w:pPr>
            <w:r>
              <w:rPr>
                <w:rFonts w:hint="eastAsia" w:ascii="宋体" w:hAnsi="宋体" w:cs="Arial"/>
                <w:color w:val="000000" w:themeColor="text1"/>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vAlign w:val="top"/>
          </w:tcPr>
          <w:p>
            <w:pPr>
              <w:jc w:val="left"/>
              <w:rPr>
                <w:rFonts w:ascii="宋体" w:hAnsi="宋体" w:cs="Arial"/>
                <w:color w:val="000000" w:themeColor="text1"/>
                <w:kern w:val="0"/>
                <w:szCs w:val="21"/>
                <w:lang w:val="en-US"/>
              </w:rPr>
            </w:pPr>
            <w:r>
              <w:rPr>
                <w:rFonts w:hint="eastAsia" w:ascii="宋体" w:hAnsi="宋体" w:cs="Arial"/>
                <w:color w:val="000000" w:themeColor="text1"/>
                <w:kern w:val="0"/>
                <w:szCs w:val="21"/>
                <w:lang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top"/>
          </w:tcPr>
          <w:p>
            <w:pPr>
              <w:jc w:val="left"/>
              <w:rPr>
                <w:rFonts w:ascii="宋体" w:hAnsi="宋体" w:cs="Arial"/>
                <w:color w:val="000000" w:themeColor="text1"/>
                <w:kern w:val="0"/>
                <w:szCs w:val="21"/>
                <w:lang w:val="en-US"/>
              </w:rPr>
            </w:pPr>
            <w:r>
              <w:rPr>
                <w:rFonts w:hint="eastAsia" w:ascii="宋体" w:hAnsi="宋体"/>
                <w:color w:val="000000" w:themeColor="text1"/>
                <w:szCs w:val="21"/>
              </w:rPr>
              <w:t>郝长墀</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Arial"/>
                <w:color w:val="000000"/>
                <w:kern w:val="0"/>
                <w:szCs w:val="21"/>
              </w:rPr>
            </w:pPr>
          </w:p>
        </w:tc>
        <w:tc>
          <w:tcPr>
            <w:tcW w:w="850" w:type="dxa"/>
            <w:gridSpan w:val="3"/>
            <w:tcBorders>
              <w:top w:val="single" w:color="000000" w:sz="4" w:space="0"/>
              <w:left w:val="nil"/>
              <w:bottom w:val="single" w:color="000000" w:sz="4" w:space="0"/>
              <w:right w:val="single" w:color="auto" w:sz="4" w:space="0"/>
            </w:tcBorders>
            <w:vAlign w:val="top"/>
          </w:tcPr>
          <w:p>
            <w:pPr>
              <w:jc w:val="left"/>
              <w:rPr>
                <w:rFonts w:ascii="宋体" w:hAnsi="宋体" w:cs="Arial"/>
                <w:color w:val="000000"/>
                <w:kern w:val="0"/>
                <w:szCs w:val="21"/>
              </w:rPr>
            </w:pPr>
          </w:p>
        </w:tc>
        <w:tc>
          <w:tcPr>
            <w:tcW w:w="2131" w:type="dxa"/>
            <w:gridSpan w:val="5"/>
            <w:tcBorders>
              <w:top w:val="single" w:color="000000" w:sz="4" w:space="0"/>
              <w:left w:val="single" w:color="auto" w:sz="4" w:space="0"/>
              <w:bottom w:val="single" w:color="000000" w:sz="4" w:space="0"/>
              <w:right w:val="single" w:color="000000" w:sz="4" w:space="0"/>
            </w:tcBorders>
            <w:vAlign w:val="top"/>
          </w:tcPr>
          <w:p>
            <w:pPr>
              <w:jc w:val="left"/>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top"/>
          </w:tcPr>
          <w:p>
            <w:pPr>
              <w:jc w:val="left"/>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top"/>
          </w:tcPr>
          <w:p>
            <w:pPr>
              <w:jc w:val="left"/>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top"/>
          </w:tcPr>
          <w:p>
            <w:pPr>
              <w:jc w:val="left"/>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top"/>
          </w:tcPr>
          <w:p>
            <w:pPr>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Cs w:val="21"/>
              </w:rPr>
            </w:pPr>
          </w:p>
        </w:tc>
        <w:tc>
          <w:tcPr>
            <w:tcW w:w="850" w:type="dxa"/>
            <w:gridSpan w:val="3"/>
            <w:tcBorders>
              <w:top w:val="single" w:color="000000" w:sz="4" w:space="0"/>
              <w:left w:val="nil"/>
              <w:bottom w:val="single" w:color="000000" w:sz="4" w:space="0"/>
              <w:right w:val="single" w:color="auto" w:sz="4" w:space="0"/>
            </w:tcBorders>
            <w:vAlign w:val="center"/>
          </w:tcPr>
          <w:p>
            <w:pPr>
              <w:widowControl/>
              <w:jc w:val="left"/>
              <w:rPr>
                <w:rFonts w:ascii="宋体" w:hAnsi="宋体" w:cs="Arial"/>
                <w:color w:val="000000"/>
                <w:kern w:val="0"/>
                <w:szCs w:val="21"/>
              </w:rPr>
            </w:pPr>
          </w:p>
        </w:tc>
        <w:tc>
          <w:tcPr>
            <w:tcW w:w="2131" w:type="dxa"/>
            <w:gridSpan w:val="5"/>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left"/>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left"/>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781" w:type="dxa"/>
            <w:gridSpan w:val="22"/>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gridSpan w:val="4"/>
            <w:vAlign w:val="center"/>
          </w:tcPr>
          <w:p>
            <w:pPr>
              <w:jc w:val="center"/>
              <w:rPr>
                <w:sz w:val="24"/>
              </w:rPr>
            </w:pPr>
            <w:r>
              <w:rPr>
                <w:rFonts w:hint="eastAsia"/>
                <w:sz w:val="24"/>
              </w:rPr>
              <w:t>起  止  时  间</w:t>
            </w:r>
          </w:p>
        </w:tc>
        <w:tc>
          <w:tcPr>
            <w:tcW w:w="3265" w:type="dxa"/>
            <w:gridSpan w:val="7"/>
            <w:vAlign w:val="center"/>
          </w:tcPr>
          <w:p>
            <w:pPr>
              <w:jc w:val="center"/>
              <w:rPr>
                <w:sz w:val="24"/>
              </w:rPr>
            </w:pPr>
            <w:r>
              <w:rPr>
                <w:rFonts w:hint="eastAsia"/>
                <w:sz w:val="24"/>
              </w:rPr>
              <w:t>单      位</w:t>
            </w:r>
          </w:p>
        </w:tc>
        <w:tc>
          <w:tcPr>
            <w:tcW w:w="2410" w:type="dxa"/>
            <w:gridSpan w:val="7"/>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gridSpan w:val="4"/>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405" w:type="dxa"/>
            <w:gridSpan w:val="4"/>
            <w:vAlign w:val="center"/>
          </w:tcPr>
          <w:p>
            <w:pPr>
              <w:rPr>
                <w:szCs w:val="21"/>
              </w:rPr>
            </w:pPr>
            <w:r>
              <w:rPr>
                <w:rFonts w:hint="eastAsia" w:ascii="宋体" w:hAnsi="宋体"/>
                <w:szCs w:val="21"/>
              </w:rPr>
              <w:t>1997年5月-2003年11月</w:t>
            </w:r>
          </w:p>
        </w:tc>
        <w:tc>
          <w:tcPr>
            <w:tcW w:w="3265" w:type="dxa"/>
            <w:gridSpan w:val="7"/>
            <w:vAlign w:val="top"/>
          </w:tcPr>
          <w:p>
            <w:pPr>
              <w:rPr>
                <w:rFonts w:hint="eastAsia" w:ascii="宋体" w:hAnsi="宋体"/>
                <w:szCs w:val="21"/>
              </w:rPr>
            </w:pPr>
            <w:r>
              <w:rPr>
                <w:rFonts w:hint="eastAsia" w:ascii="宋体" w:hAnsi="宋体"/>
                <w:szCs w:val="21"/>
              </w:rPr>
              <w:t>汝南县环境保护局</w:t>
            </w:r>
          </w:p>
        </w:tc>
        <w:tc>
          <w:tcPr>
            <w:tcW w:w="2410" w:type="dxa"/>
            <w:gridSpan w:val="7"/>
            <w:vAlign w:val="top"/>
          </w:tcPr>
          <w:p>
            <w:pPr>
              <w:rPr>
                <w:rFonts w:hint="eastAsia" w:ascii="宋体" w:hAnsi="宋体"/>
                <w:szCs w:val="21"/>
              </w:rPr>
            </w:pPr>
            <w:r>
              <w:rPr>
                <w:rFonts w:hint="eastAsia" w:ascii="宋体" w:hAnsi="宋体"/>
                <w:szCs w:val="21"/>
              </w:rPr>
              <w:t>环境监测</w:t>
            </w:r>
          </w:p>
        </w:tc>
        <w:tc>
          <w:tcPr>
            <w:tcW w:w="1701" w:type="dxa"/>
            <w:gridSpan w:val="4"/>
            <w:vAlign w:val="top"/>
          </w:tcPr>
          <w:p>
            <w:pPr>
              <w:rPr>
                <w:rFonts w:hint="eastAsia" w:ascii="宋体" w:hAnsi="宋体"/>
                <w:szCs w:val="21"/>
              </w:rPr>
            </w:pPr>
            <w:r>
              <w:rPr>
                <w:rFonts w:hint="eastAsia" w:ascii="宋体" w:hAnsi="宋体"/>
                <w:szCs w:val="21"/>
              </w:rPr>
              <w:t>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405" w:type="dxa"/>
            <w:gridSpan w:val="4"/>
            <w:vAlign w:val="center"/>
          </w:tcPr>
          <w:p>
            <w:pPr>
              <w:rPr>
                <w:sz w:val="18"/>
              </w:rPr>
            </w:pPr>
            <w:r>
              <w:rPr>
                <w:rFonts w:hint="eastAsia" w:ascii="宋体" w:hAnsi="宋体"/>
                <w:szCs w:val="21"/>
              </w:rPr>
              <w:t>2003年11月-20</w:t>
            </w:r>
            <w:r>
              <w:rPr>
                <w:rFonts w:hint="eastAsia" w:ascii="宋体" w:hAnsi="宋体"/>
                <w:szCs w:val="21"/>
                <w:lang w:val="en-US" w:eastAsia="zh-CN"/>
              </w:rPr>
              <w:t>05</w:t>
            </w:r>
            <w:r>
              <w:rPr>
                <w:rFonts w:hint="eastAsia" w:ascii="宋体" w:hAnsi="宋体"/>
                <w:szCs w:val="21"/>
              </w:rPr>
              <w:t>年9月</w:t>
            </w:r>
          </w:p>
        </w:tc>
        <w:tc>
          <w:tcPr>
            <w:tcW w:w="3265" w:type="dxa"/>
            <w:gridSpan w:val="7"/>
            <w:vAlign w:val="top"/>
          </w:tcPr>
          <w:p>
            <w:pPr>
              <w:rPr>
                <w:rFonts w:hint="eastAsia" w:ascii="宋体" w:hAnsi="宋体"/>
                <w:szCs w:val="21"/>
              </w:rPr>
            </w:pPr>
            <w:r>
              <w:rPr>
                <w:rFonts w:hint="eastAsia" w:ascii="宋体" w:hAnsi="宋体"/>
                <w:szCs w:val="21"/>
              </w:rPr>
              <w:t>汝南县官庄乡政府</w:t>
            </w:r>
          </w:p>
        </w:tc>
        <w:tc>
          <w:tcPr>
            <w:tcW w:w="2410" w:type="dxa"/>
            <w:gridSpan w:val="7"/>
            <w:vAlign w:val="top"/>
          </w:tcPr>
          <w:p>
            <w:pPr>
              <w:rPr>
                <w:rFonts w:hint="eastAsia" w:ascii="宋体" w:hAnsi="宋体"/>
                <w:szCs w:val="21"/>
                <w:lang w:val="en-US" w:eastAsia="zh-CN"/>
              </w:rPr>
            </w:pPr>
            <w:r>
              <w:rPr>
                <w:rFonts w:hint="eastAsia" w:ascii="宋体" w:hAnsi="宋体"/>
                <w:szCs w:val="21"/>
                <w:lang w:val="en-US" w:eastAsia="zh-CN"/>
              </w:rPr>
              <w:t>行政管理</w:t>
            </w:r>
          </w:p>
        </w:tc>
        <w:tc>
          <w:tcPr>
            <w:tcW w:w="1701" w:type="dxa"/>
            <w:gridSpan w:val="4"/>
            <w:vAlign w:val="top"/>
          </w:tcPr>
          <w:p>
            <w:pPr>
              <w:rPr>
                <w:rFonts w:hint="eastAsia" w:ascii="宋体" w:hAnsi="宋体"/>
                <w:szCs w:val="21"/>
              </w:rPr>
            </w:pPr>
            <w:r>
              <w:rPr>
                <w:rFonts w:hint="eastAsia" w:ascii="宋体" w:hAnsi="宋体"/>
                <w:szCs w:val="21"/>
              </w:rPr>
              <w:t>副乡长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405" w:type="dxa"/>
            <w:gridSpan w:val="4"/>
            <w:vAlign w:val="center"/>
          </w:tcPr>
          <w:p>
            <w:pPr>
              <w:rPr>
                <w:sz w:val="18"/>
              </w:rPr>
            </w:pPr>
            <w:r>
              <w:rPr>
                <w:rFonts w:hint="eastAsia" w:ascii="宋体" w:hAnsi="宋体"/>
                <w:szCs w:val="21"/>
              </w:rPr>
              <w:t>200</w:t>
            </w:r>
            <w:r>
              <w:rPr>
                <w:rFonts w:hint="eastAsia" w:ascii="宋体" w:hAnsi="宋体"/>
                <w:szCs w:val="21"/>
                <w:lang w:val="en-US" w:eastAsia="zh-CN"/>
              </w:rPr>
              <w:t>8</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月-20</w:t>
            </w:r>
            <w:r>
              <w:rPr>
                <w:rFonts w:hint="eastAsia" w:ascii="宋体" w:hAnsi="宋体"/>
                <w:szCs w:val="21"/>
                <w:lang w:val="en-US" w:eastAsia="zh-CN"/>
              </w:rPr>
              <w:t>11</w:t>
            </w:r>
            <w:r>
              <w:rPr>
                <w:rFonts w:hint="eastAsia" w:ascii="宋体" w:hAnsi="宋体"/>
                <w:szCs w:val="21"/>
              </w:rPr>
              <w:t>年9月</w:t>
            </w:r>
          </w:p>
        </w:tc>
        <w:tc>
          <w:tcPr>
            <w:tcW w:w="3265" w:type="dxa"/>
            <w:gridSpan w:val="7"/>
            <w:vAlign w:val="top"/>
          </w:tcPr>
          <w:p>
            <w:pPr>
              <w:rPr>
                <w:rFonts w:hint="eastAsia" w:ascii="宋体" w:hAnsi="宋体"/>
                <w:szCs w:val="21"/>
              </w:rPr>
            </w:pPr>
            <w:r>
              <w:rPr>
                <w:rFonts w:hint="eastAsia" w:ascii="宋体" w:hAnsi="宋体"/>
                <w:szCs w:val="21"/>
              </w:rPr>
              <w:t>汝南县官庄乡政府</w:t>
            </w:r>
          </w:p>
          <w:p>
            <w:pPr>
              <w:rPr>
                <w:rFonts w:hint="eastAsia" w:ascii="宋体" w:hAnsi="宋体"/>
                <w:szCs w:val="21"/>
              </w:rPr>
            </w:pPr>
            <w:r>
              <w:rPr>
                <w:rFonts w:hint="eastAsia" w:ascii="宋体" w:hAnsi="宋体"/>
                <w:szCs w:val="21"/>
              </w:rPr>
              <w:t>（现更名东官庄镇）</w:t>
            </w:r>
          </w:p>
        </w:tc>
        <w:tc>
          <w:tcPr>
            <w:tcW w:w="2410" w:type="dxa"/>
            <w:gridSpan w:val="7"/>
            <w:vAlign w:val="top"/>
          </w:tcPr>
          <w:p>
            <w:pPr>
              <w:rPr>
                <w:rFonts w:hint="eastAsia" w:ascii="宋体" w:hAnsi="宋体"/>
                <w:szCs w:val="21"/>
                <w:lang w:eastAsia="zh-CN"/>
              </w:rPr>
            </w:pPr>
            <w:r>
              <w:rPr>
                <w:rFonts w:hint="eastAsia" w:ascii="宋体" w:hAnsi="宋体"/>
                <w:szCs w:val="21"/>
                <w:lang w:eastAsia="zh-CN"/>
              </w:rPr>
              <w:t>行政管理</w:t>
            </w:r>
          </w:p>
        </w:tc>
        <w:tc>
          <w:tcPr>
            <w:tcW w:w="1701" w:type="dxa"/>
            <w:gridSpan w:val="4"/>
            <w:vAlign w:val="top"/>
          </w:tcPr>
          <w:p>
            <w:pPr>
              <w:rPr>
                <w:rFonts w:hint="eastAsia" w:ascii="宋体" w:hAnsi="宋体"/>
                <w:szCs w:val="21"/>
              </w:rPr>
            </w:pPr>
            <w:r>
              <w:rPr>
                <w:rFonts w:hint="eastAsia" w:ascii="宋体" w:hAnsi="宋体"/>
                <w:szCs w:val="21"/>
              </w:rPr>
              <w:t>副科级干部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405" w:type="dxa"/>
            <w:gridSpan w:val="4"/>
            <w:vAlign w:val="center"/>
          </w:tcPr>
          <w:p>
            <w:pPr>
              <w:rPr>
                <w:szCs w:val="21"/>
              </w:rPr>
            </w:pPr>
            <w:r>
              <w:rPr>
                <w:rFonts w:hint="eastAsia" w:ascii="宋体" w:hAnsi="宋体"/>
                <w:szCs w:val="21"/>
              </w:rPr>
              <w:t>2008年9月-2013年1月</w:t>
            </w:r>
          </w:p>
        </w:tc>
        <w:tc>
          <w:tcPr>
            <w:tcW w:w="3265" w:type="dxa"/>
            <w:gridSpan w:val="7"/>
            <w:vAlign w:val="top"/>
          </w:tcPr>
          <w:p>
            <w:pPr>
              <w:rPr>
                <w:rFonts w:hint="eastAsia" w:ascii="宋体" w:hAnsi="宋体"/>
                <w:szCs w:val="21"/>
              </w:rPr>
            </w:pPr>
            <w:r>
              <w:rPr>
                <w:rFonts w:hint="eastAsia" w:ascii="宋体" w:hAnsi="宋体"/>
                <w:szCs w:val="21"/>
              </w:rPr>
              <w:t>华中师范大学汉口分校（现更名汉口学院）</w:t>
            </w:r>
          </w:p>
        </w:tc>
        <w:tc>
          <w:tcPr>
            <w:tcW w:w="2410" w:type="dxa"/>
            <w:gridSpan w:val="7"/>
            <w:vAlign w:val="top"/>
          </w:tcPr>
          <w:p>
            <w:pPr>
              <w:rPr>
                <w:rFonts w:hint="eastAsia" w:ascii="宋体" w:hAnsi="宋体"/>
                <w:szCs w:val="21"/>
              </w:rPr>
            </w:pPr>
            <w:r>
              <w:rPr>
                <w:rFonts w:hint="eastAsia" w:ascii="宋体" w:hAnsi="宋体"/>
                <w:szCs w:val="21"/>
                <w:lang w:eastAsia="zh-CN"/>
              </w:rPr>
              <w:t>专</w:t>
            </w:r>
            <w:r>
              <w:rPr>
                <w:rFonts w:hint="eastAsia" w:ascii="宋体" w:hAnsi="宋体"/>
                <w:szCs w:val="21"/>
              </w:rPr>
              <w:t>职教师</w:t>
            </w:r>
          </w:p>
        </w:tc>
        <w:tc>
          <w:tcPr>
            <w:tcW w:w="1701" w:type="dxa"/>
            <w:gridSpan w:val="4"/>
            <w:vAlign w:val="top"/>
          </w:tcPr>
          <w:p>
            <w:pPr>
              <w:rPr>
                <w:rFonts w:hint="eastAsia" w:ascii="宋体" w:hAnsi="宋体"/>
                <w:szCs w:val="21"/>
              </w:rPr>
            </w:pPr>
            <w:r>
              <w:rPr>
                <w:rFonts w:hint="eastAsia" w:ascii="宋体" w:hAnsi="宋体"/>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05" w:type="dxa"/>
            <w:gridSpan w:val="4"/>
            <w:vAlign w:val="center"/>
          </w:tcPr>
          <w:p>
            <w:pPr>
              <w:rPr>
                <w:sz w:val="18"/>
              </w:rPr>
            </w:pPr>
            <w:r>
              <w:rPr>
                <w:rFonts w:hint="eastAsia" w:ascii="宋体" w:hAnsi="宋体"/>
                <w:szCs w:val="21"/>
              </w:rPr>
              <w:t>2015年8月—至今</w:t>
            </w:r>
          </w:p>
        </w:tc>
        <w:tc>
          <w:tcPr>
            <w:tcW w:w="3265" w:type="dxa"/>
            <w:gridSpan w:val="7"/>
            <w:vAlign w:val="top"/>
          </w:tcPr>
          <w:p>
            <w:pPr>
              <w:rPr>
                <w:rFonts w:hint="eastAsia" w:ascii="宋体" w:hAnsi="宋体"/>
                <w:szCs w:val="21"/>
              </w:rPr>
            </w:pPr>
          </w:p>
          <w:p>
            <w:pPr>
              <w:rPr>
                <w:rFonts w:hint="eastAsia" w:ascii="宋体" w:hAnsi="宋体"/>
                <w:szCs w:val="21"/>
              </w:rPr>
            </w:pPr>
            <w:r>
              <w:rPr>
                <w:rFonts w:hint="eastAsia" w:ascii="宋体" w:hAnsi="宋体"/>
                <w:szCs w:val="21"/>
              </w:rPr>
              <w:t>海南师范大学</w:t>
            </w:r>
          </w:p>
        </w:tc>
        <w:tc>
          <w:tcPr>
            <w:tcW w:w="2410" w:type="dxa"/>
            <w:gridSpan w:val="7"/>
            <w:vAlign w:val="top"/>
          </w:tcPr>
          <w:p>
            <w:pPr>
              <w:rPr>
                <w:rFonts w:hint="eastAsia" w:ascii="宋体" w:hAnsi="宋体"/>
                <w:szCs w:val="21"/>
              </w:rPr>
            </w:pPr>
          </w:p>
          <w:p>
            <w:pPr>
              <w:rPr>
                <w:rFonts w:hint="eastAsia" w:ascii="宋体" w:hAnsi="宋体"/>
                <w:szCs w:val="21"/>
              </w:rPr>
            </w:pPr>
            <w:r>
              <w:rPr>
                <w:rFonts w:hint="eastAsia" w:ascii="宋体" w:hAnsi="宋体"/>
                <w:szCs w:val="21"/>
              </w:rPr>
              <w:t>高校教师</w:t>
            </w:r>
          </w:p>
        </w:tc>
        <w:tc>
          <w:tcPr>
            <w:tcW w:w="1701" w:type="dxa"/>
            <w:gridSpan w:val="4"/>
            <w:vAlign w:val="top"/>
          </w:tcPr>
          <w:p>
            <w:pPr>
              <w:rPr>
                <w:rFonts w:hint="eastAsia" w:ascii="宋体" w:hAnsi="宋体"/>
                <w:szCs w:val="21"/>
              </w:rPr>
            </w:pPr>
          </w:p>
          <w:p>
            <w:pPr>
              <w:rPr>
                <w:rFonts w:hint="eastAsia" w:ascii="宋体" w:hAnsi="宋体"/>
                <w:szCs w:val="21"/>
              </w:rPr>
            </w:pPr>
            <w:r>
              <w:rPr>
                <w:rFonts w:hint="eastAsia" w:ascii="宋体" w:hAnsi="宋体"/>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405" w:type="dxa"/>
            <w:gridSpan w:val="4"/>
            <w:vAlign w:val="center"/>
          </w:tcPr>
          <w:p>
            <w:pPr>
              <w:rPr>
                <w:sz w:val="18"/>
              </w:rPr>
            </w:pPr>
          </w:p>
        </w:tc>
        <w:tc>
          <w:tcPr>
            <w:tcW w:w="3265" w:type="dxa"/>
            <w:gridSpan w:val="7"/>
            <w:vAlign w:val="top"/>
          </w:tcPr>
          <w:p>
            <w:pPr>
              <w:rPr>
                <w:sz w:val="18"/>
              </w:rPr>
            </w:pPr>
          </w:p>
        </w:tc>
        <w:tc>
          <w:tcPr>
            <w:tcW w:w="2410" w:type="dxa"/>
            <w:gridSpan w:val="7"/>
            <w:vAlign w:val="top"/>
          </w:tcPr>
          <w:p>
            <w:pPr>
              <w:rPr>
                <w:sz w:val="18"/>
              </w:rPr>
            </w:pPr>
          </w:p>
        </w:tc>
        <w:tc>
          <w:tcPr>
            <w:tcW w:w="1701" w:type="dxa"/>
            <w:gridSpan w:val="4"/>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405" w:type="dxa"/>
            <w:gridSpan w:val="4"/>
            <w:vAlign w:val="center"/>
          </w:tcPr>
          <w:p>
            <w:pPr>
              <w:rPr>
                <w:szCs w:val="21"/>
              </w:rPr>
            </w:pPr>
          </w:p>
        </w:tc>
        <w:tc>
          <w:tcPr>
            <w:tcW w:w="3265" w:type="dxa"/>
            <w:gridSpan w:val="7"/>
            <w:vAlign w:val="top"/>
          </w:tcPr>
          <w:p>
            <w:pPr>
              <w:rPr>
                <w:sz w:val="18"/>
              </w:rPr>
            </w:pPr>
          </w:p>
        </w:tc>
        <w:tc>
          <w:tcPr>
            <w:tcW w:w="2410" w:type="dxa"/>
            <w:gridSpan w:val="7"/>
            <w:vAlign w:val="top"/>
          </w:tcPr>
          <w:p>
            <w:pPr>
              <w:rPr>
                <w:sz w:val="18"/>
              </w:rPr>
            </w:pPr>
          </w:p>
        </w:tc>
        <w:tc>
          <w:tcPr>
            <w:tcW w:w="1701" w:type="dxa"/>
            <w:gridSpan w:val="4"/>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405" w:type="dxa"/>
            <w:gridSpan w:val="4"/>
            <w:vAlign w:val="center"/>
          </w:tcPr>
          <w:p>
            <w:pPr>
              <w:rPr>
                <w:sz w:val="18"/>
              </w:rPr>
            </w:pPr>
          </w:p>
        </w:tc>
        <w:tc>
          <w:tcPr>
            <w:tcW w:w="3265" w:type="dxa"/>
            <w:gridSpan w:val="7"/>
            <w:vAlign w:val="top"/>
          </w:tcPr>
          <w:p>
            <w:pPr>
              <w:rPr>
                <w:sz w:val="18"/>
              </w:rPr>
            </w:pPr>
          </w:p>
        </w:tc>
        <w:tc>
          <w:tcPr>
            <w:tcW w:w="2410" w:type="dxa"/>
            <w:gridSpan w:val="7"/>
            <w:vAlign w:val="top"/>
          </w:tcPr>
          <w:p>
            <w:pPr>
              <w:rPr>
                <w:sz w:val="18"/>
              </w:rPr>
            </w:pPr>
          </w:p>
        </w:tc>
        <w:tc>
          <w:tcPr>
            <w:tcW w:w="1701" w:type="dxa"/>
            <w:gridSpan w:val="4"/>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05" w:type="dxa"/>
            <w:gridSpan w:val="4"/>
            <w:vAlign w:val="center"/>
          </w:tcPr>
          <w:p>
            <w:pPr>
              <w:rPr>
                <w:sz w:val="18"/>
              </w:rPr>
            </w:pPr>
          </w:p>
        </w:tc>
        <w:tc>
          <w:tcPr>
            <w:tcW w:w="3265" w:type="dxa"/>
            <w:gridSpan w:val="7"/>
            <w:vAlign w:val="top"/>
          </w:tcPr>
          <w:p>
            <w:pPr>
              <w:rPr>
                <w:sz w:val="18"/>
              </w:rPr>
            </w:pPr>
          </w:p>
        </w:tc>
        <w:tc>
          <w:tcPr>
            <w:tcW w:w="2410" w:type="dxa"/>
            <w:gridSpan w:val="7"/>
            <w:vAlign w:val="top"/>
          </w:tcPr>
          <w:p>
            <w:pPr>
              <w:rPr>
                <w:sz w:val="18"/>
              </w:rPr>
            </w:pPr>
          </w:p>
        </w:tc>
        <w:tc>
          <w:tcPr>
            <w:tcW w:w="1701" w:type="dxa"/>
            <w:gridSpan w:val="4"/>
            <w:vAlign w:val="top"/>
          </w:tcPr>
          <w:p>
            <w:pPr>
              <w:rPr>
                <w:sz w:val="18"/>
              </w:rPr>
            </w:pPr>
          </w:p>
        </w:tc>
      </w:tr>
    </w:tbl>
    <w:p/>
    <w:tbl>
      <w:tblPr>
        <w:tblStyle w:val="6"/>
        <w:tblW w:w="9781" w:type="dxa"/>
        <w:tblInd w:w="108" w:type="dxa"/>
        <w:tblLayout w:type="fixed"/>
        <w:tblCellMar>
          <w:top w:w="0" w:type="dxa"/>
          <w:left w:w="108" w:type="dxa"/>
          <w:bottom w:w="0" w:type="dxa"/>
          <w:right w:w="108" w:type="dxa"/>
        </w:tblCellMar>
      </w:tblPr>
      <w:tblGrid>
        <w:gridCol w:w="2410"/>
        <w:gridCol w:w="1059"/>
        <w:gridCol w:w="4612"/>
        <w:gridCol w:w="1700"/>
      </w:tblGrid>
      <w:tr>
        <w:tblPrEx>
          <w:tblLayout w:type="fixed"/>
          <w:tblCellMar>
            <w:top w:w="0" w:type="dxa"/>
            <w:left w:w="108" w:type="dxa"/>
            <w:bottom w:w="0" w:type="dxa"/>
            <w:right w:w="108" w:type="dxa"/>
          </w:tblCellMar>
        </w:tblPrEx>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Layout w:type="fixed"/>
          <w:tblCellMar>
            <w:top w:w="0" w:type="dxa"/>
            <w:left w:w="108" w:type="dxa"/>
            <w:bottom w:w="0" w:type="dxa"/>
            <w:right w:w="108" w:type="dxa"/>
          </w:tblCellMar>
        </w:tblPrEx>
        <w:trPr>
          <w:trHeight w:val="4208"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jc w:val="left"/>
              <w:rPr>
                <w:rFonts w:hint="eastAsia"/>
                <w:sz w:val="24"/>
              </w:rPr>
            </w:pPr>
          </w:p>
          <w:p>
            <w:pPr>
              <w:widowControl/>
              <w:jc w:val="left"/>
              <w:rPr>
                <w:rFonts w:hint="eastAsia"/>
                <w:sz w:val="24"/>
              </w:rPr>
            </w:pPr>
          </w:p>
          <w:p>
            <w:pPr>
              <w:widowControl/>
              <w:jc w:val="left"/>
              <w:rPr>
                <w:rFonts w:hint="eastAsia"/>
                <w:sz w:val="24"/>
              </w:rPr>
            </w:pPr>
          </w:p>
          <w:p>
            <w:pPr>
              <w:ind w:firstLine="420" w:firstLineChars="200"/>
              <w:rPr>
                <w:rFonts w:hint="eastAsia" w:ascii="宋体" w:hAnsi="宋体"/>
                <w:szCs w:val="21"/>
              </w:rPr>
            </w:pPr>
            <w:r>
              <w:rPr>
                <w:rFonts w:hint="eastAsia" w:ascii="宋体" w:hAnsi="宋体"/>
                <w:szCs w:val="21"/>
                <w:lang w:eastAsia="zh-CN"/>
              </w:rPr>
              <w:t>江海全</w:t>
            </w:r>
            <w:r>
              <w:rPr>
                <w:rFonts w:hint="eastAsia" w:ascii="宋体" w:hAnsi="宋体"/>
                <w:szCs w:val="21"/>
              </w:rPr>
              <w:t>在思想品德上，严于律己，为人师表，教书育人。在政治上，与党中央保持高度一致，认真学习并践行党的路线、方针和政策，严格遵守中央八项规定。在工作上，兢兢业业，脚踏实地，无私奉献，认真负责，并担任思想政治教育系主任，承担各种教学管理工作，教学理论与教学实践相结合。团结同事，关心老师，遵守社会公德，遵纪守法，始终做到各方面严格要求自己，起到表率作用。</w:t>
            </w:r>
          </w:p>
          <w:p>
            <w:pPr>
              <w:widowControl/>
              <w:jc w:val="left"/>
              <w:rPr>
                <w:rFonts w:hint="eastAsia"/>
                <w:sz w:val="24"/>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w:t>
            </w:r>
            <w:r>
              <w:rPr>
                <w:rFonts w:hint="eastAsia" w:ascii="宋体" w:hAnsi="宋体" w:cs="Arial"/>
                <w:color w:val="000000"/>
                <w:kern w:val="0"/>
                <w:szCs w:val="21"/>
                <w:lang w:val="en-US" w:eastAsia="zh-CN"/>
              </w:rPr>
              <w:t xml:space="preserve">    </w:t>
            </w:r>
            <w:r>
              <w:rPr>
                <w:rFonts w:hint="eastAsia" w:ascii="宋体" w:hAnsi="宋体" w:cs="Arial"/>
                <w:color w:val="000000"/>
                <w:kern w:val="0"/>
                <w:szCs w:val="21"/>
              </w:rPr>
              <w:t>月</w:t>
            </w:r>
            <w:r>
              <w:rPr>
                <w:rFonts w:hint="eastAsia" w:ascii="宋体" w:hAnsi="宋体" w:cs="Arial"/>
                <w:color w:val="000000"/>
                <w:kern w:val="0"/>
                <w:szCs w:val="21"/>
                <w:lang w:val="en-US" w:eastAsia="zh-CN"/>
              </w:rPr>
              <w:t xml:space="preserve">    </w:t>
            </w:r>
            <w:r>
              <w:rPr>
                <w:rFonts w:hint="eastAsia" w:ascii="宋体" w:hAnsi="宋体" w:cs="Arial"/>
                <w:color w:val="000000"/>
                <w:kern w:val="0"/>
                <w:szCs w:val="21"/>
              </w:rPr>
              <w:t>日</w:t>
            </w:r>
          </w:p>
        </w:tc>
      </w:tr>
      <w:tr>
        <w:tblPrEx>
          <w:tblLayout w:type="fixed"/>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任现职以来的考核结果(高级职称填近五年）</w:t>
            </w:r>
          </w:p>
        </w:tc>
        <w:tc>
          <w:tcPr>
            <w:tcW w:w="7371" w:type="dxa"/>
            <w:gridSpan w:val="3"/>
            <w:tcBorders>
              <w:top w:val="single" w:color="000000" w:sz="4" w:space="0"/>
              <w:left w:val="nil"/>
              <w:bottom w:val="single" w:color="auto" w:sz="4" w:space="0"/>
              <w:right w:val="single" w:color="000000" w:sz="4" w:space="0"/>
            </w:tcBorders>
            <w:vAlign w:val="center"/>
          </w:tcPr>
          <w:p>
            <w:pPr>
              <w:widowControl/>
              <w:rPr>
                <w:rFonts w:hint="eastAsia" w:ascii="宋体" w:hAnsi="宋体" w:cs="Arial" w:eastAsiaTheme="minorEastAsia"/>
                <w:color w:val="000000"/>
                <w:kern w:val="0"/>
                <w:szCs w:val="21"/>
                <w:lang w:eastAsia="zh-CN"/>
              </w:rPr>
            </w:pPr>
            <w:r>
              <w:rPr>
                <w:rFonts w:hint="eastAsia" w:ascii="宋体" w:hAnsi="宋体" w:cs="Arial"/>
                <w:color w:val="000000"/>
                <w:kern w:val="0"/>
                <w:szCs w:val="21"/>
                <w:lang w:val="en-US" w:eastAsia="zh-CN"/>
              </w:rPr>
              <w:t xml:space="preserve"> </w:t>
            </w:r>
            <w:r>
              <w:rPr>
                <w:rFonts w:hint="eastAsia" w:ascii="宋体" w:hAnsi="宋体" w:cs="Arial"/>
                <w:color w:val="000000"/>
                <w:kern w:val="0"/>
                <w:szCs w:val="21"/>
              </w:rPr>
              <w:t>2015年</w:t>
            </w:r>
            <w:r>
              <w:rPr>
                <w:rFonts w:hint="eastAsia" w:ascii="宋体" w:hAnsi="宋体" w:cs="Arial"/>
                <w:color w:val="000000"/>
                <w:kern w:val="0"/>
                <w:szCs w:val="21"/>
                <w:lang w:eastAsia="zh-CN"/>
              </w:rPr>
              <w:t>称职</w:t>
            </w:r>
            <w:r>
              <w:rPr>
                <w:rFonts w:hint="eastAsia" w:ascii="宋体" w:hAnsi="宋体" w:cs="Arial"/>
                <w:color w:val="000000"/>
                <w:kern w:val="0"/>
                <w:szCs w:val="21"/>
              </w:rPr>
              <w:t>，2016年</w:t>
            </w:r>
            <w:r>
              <w:rPr>
                <w:rFonts w:hint="eastAsia" w:ascii="宋体" w:hAnsi="宋体" w:cs="Arial"/>
                <w:color w:val="000000"/>
                <w:kern w:val="0"/>
                <w:szCs w:val="21"/>
                <w:lang w:eastAsia="zh-CN"/>
              </w:rPr>
              <w:t>称职</w:t>
            </w:r>
            <w:r>
              <w:rPr>
                <w:rFonts w:hint="eastAsia" w:ascii="宋体" w:hAnsi="宋体" w:cs="Arial"/>
                <w:color w:val="000000"/>
                <w:kern w:val="0"/>
                <w:szCs w:val="21"/>
              </w:rPr>
              <w:t>，2017年</w:t>
            </w:r>
            <w:r>
              <w:rPr>
                <w:rFonts w:hint="eastAsia" w:ascii="宋体" w:hAnsi="宋体" w:cs="Arial"/>
                <w:color w:val="000000"/>
                <w:kern w:val="0"/>
                <w:szCs w:val="21"/>
                <w:lang w:eastAsia="zh-CN"/>
              </w:rPr>
              <w:t>称职</w:t>
            </w:r>
            <w:r>
              <w:rPr>
                <w:rFonts w:hint="eastAsia" w:ascii="宋体" w:hAnsi="宋体" w:cs="Arial"/>
                <w:color w:val="000000"/>
                <w:kern w:val="0"/>
                <w:szCs w:val="21"/>
              </w:rPr>
              <w:t xml:space="preserve"> </w:t>
            </w:r>
            <w:r>
              <w:rPr>
                <w:rFonts w:hint="eastAsia" w:ascii="宋体" w:hAnsi="宋体" w:cs="Arial"/>
                <w:color w:val="000000"/>
                <w:kern w:val="0"/>
                <w:szCs w:val="21"/>
                <w:lang w:val="en-US" w:eastAsia="zh-CN"/>
              </w:rPr>
              <w:t xml:space="preserve"> </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2015年8月入校</w:t>
            </w:r>
            <w:r>
              <w:rPr>
                <w:rFonts w:hint="eastAsia" w:ascii="宋体" w:hAnsi="宋体" w:cs="Arial"/>
                <w:color w:val="000000"/>
                <w:kern w:val="0"/>
                <w:szCs w:val="21"/>
                <w:lang w:eastAsia="zh-CN"/>
              </w:rPr>
              <w:t>）</w:t>
            </w:r>
          </w:p>
        </w:tc>
      </w:tr>
      <w:tr>
        <w:tblPrEx>
          <w:tblLayout w:type="fixed"/>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rPr>
              <w:sym w:font="Wingdings 2" w:char="0052"/>
            </w:r>
            <w:r>
              <w:rPr>
                <w:rFonts w:hint="eastAsia" w:cs="Arial" w:asciiTheme="minorEastAsia" w:hAnsiTheme="minorEastAsia"/>
                <w:color w:val="000000"/>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延迟申请   年。</w:t>
            </w:r>
          </w:p>
        </w:tc>
      </w:tr>
      <w:tr>
        <w:tblPrEx>
          <w:tblLayout w:type="fixed"/>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w:t>
            </w:r>
          </w:p>
          <w:p>
            <w:pPr>
              <w:widowControl/>
              <w:jc w:val="center"/>
              <w:rPr>
                <w:rFonts w:ascii="宋体" w:hAnsi="宋体" w:cs="Arial"/>
                <w:color w:val="000000"/>
                <w:kern w:val="0"/>
                <w:szCs w:val="21"/>
              </w:rPr>
            </w:pPr>
            <w:r>
              <w:rPr>
                <w:rFonts w:hint="eastAsia" w:ascii="宋体" w:hAnsi="宋体" w:cs="Arial"/>
                <w:color w:val="000000"/>
                <w:kern w:val="0"/>
                <w:szCs w:val="21"/>
              </w:rPr>
              <w:t>辅导员时间</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2015.09-2017.06</w:t>
            </w:r>
          </w:p>
        </w:tc>
        <w:tc>
          <w:tcPr>
            <w:tcW w:w="4612"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面向全校举办的公开学术讲座次数</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 w:val="15"/>
                <w:szCs w:val="15"/>
                <w:lang w:eastAsia="zh-CN"/>
              </w:rPr>
              <w:t>免（从</w:t>
            </w:r>
            <w:r>
              <w:rPr>
                <w:rFonts w:hint="eastAsia" w:ascii="宋体" w:hAnsi="宋体" w:cs="Arial"/>
                <w:color w:val="000000"/>
                <w:kern w:val="0"/>
                <w:sz w:val="15"/>
                <w:szCs w:val="15"/>
                <w:lang w:val="en-US" w:eastAsia="zh-CN"/>
              </w:rPr>
              <w:t>2018年开始</w:t>
            </w:r>
            <w:r>
              <w:rPr>
                <w:rFonts w:hint="eastAsia" w:ascii="宋体" w:hAnsi="宋体" w:cs="Arial"/>
                <w:color w:val="000000"/>
                <w:kern w:val="0"/>
                <w:sz w:val="15"/>
                <w:szCs w:val="15"/>
                <w:lang w:eastAsia="zh-CN"/>
              </w:rPr>
              <w:t>）</w:t>
            </w:r>
          </w:p>
        </w:tc>
      </w:tr>
    </w:tbl>
    <w:p/>
    <w:p>
      <w:pPr>
        <w:widowControl/>
        <w:jc w:val="left"/>
      </w:pPr>
      <w:r>
        <w:br w:type="page"/>
      </w:r>
    </w:p>
    <w:p/>
    <w:tbl>
      <w:tblPr>
        <w:tblStyle w:val="6"/>
        <w:tblW w:w="9781" w:type="dxa"/>
        <w:tblInd w:w="108" w:type="dxa"/>
        <w:tblLayout w:type="fixed"/>
        <w:tblCellMar>
          <w:top w:w="0" w:type="dxa"/>
          <w:left w:w="108" w:type="dxa"/>
          <w:bottom w:w="0" w:type="dxa"/>
          <w:right w:w="108" w:type="dxa"/>
        </w:tblCellMar>
      </w:tblPr>
      <w:tblGrid>
        <w:gridCol w:w="1707"/>
        <w:gridCol w:w="561"/>
        <w:gridCol w:w="3119"/>
        <w:gridCol w:w="2126"/>
        <w:gridCol w:w="709"/>
        <w:gridCol w:w="709"/>
        <w:gridCol w:w="850"/>
      </w:tblGrid>
      <w:tr>
        <w:tblPrEx>
          <w:tblLayout w:type="fixed"/>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Layout w:type="fixed"/>
          <w:tblCellMar>
            <w:top w:w="0" w:type="dxa"/>
            <w:left w:w="108" w:type="dxa"/>
            <w:bottom w:w="0" w:type="dxa"/>
            <w:right w:w="108" w:type="dxa"/>
          </w:tblCellMar>
        </w:tblPrEx>
        <w:trPr>
          <w:trHeight w:val="1605" w:hRule="atLeast"/>
        </w:trPr>
        <w:tc>
          <w:tcPr>
            <w:tcW w:w="1707"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56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仿宋_GB2312" w:eastAsia="仿宋_GB2312"/>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1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①</w:t>
            </w:r>
            <w:r>
              <w:rPr>
                <w:rFonts w:ascii="宋体" w:hAnsi="宋体" w:cs="Arial"/>
                <w:color w:val="000000"/>
                <w:kern w:val="0"/>
                <w:szCs w:val="21"/>
              </w:rPr>
              <w:fldChar w:fldCharType="end"/>
            </w:r>
            <w:r>
              <w:rPr>
                <w:rFonts w:hint="eastAsia" w:ascii="仿宋_GB2312" w:eastAsia="仿宋_GB2312"/>
                <w:szCs w:val="21"/>
              </w:rPr>
              <w:t>近</w:t>
            </w:r>
            <w:r>
              <w:rPr>
                <w:rFonts w:hint="eastAsia" w:ascii="仿宋_GB2312" w:eastAsia="仿宋_GB2312"/>
                <w:szCs w:val="21"/>
                <w:lang w:val="en-US" w:eastAsia="zh-CN"/>
              </w:rPr>
              <w:t>2.5</w:t>
            </w:r>
            <w:r>
              <w:rPr>
                <w:rFonts w:hint="eastAsia" w:ascii="仿宋_GB2312" w:eastAsia="仿宋_GB2312"/>
                <w:szCs w:val="21"/>
              </w:rPr>
              <w:t>年，承担全日期本科生</w:t>
            </w:r>
            <w:r>
              <w:rPr>
                <w:rFonts w:hint="eastAsia" w:ascii="仿宋_GB2312" w:eastAsia="仿宋_GB2312"/>
                <w:szCs w:val="21"/>
                <w:u w:val="single"/>
              </w:rPr>
              <w:t xml:space="preserve"> </w:t>
            </w:r>
            <w:r>
              <w:rPr>
                <w:rFonts w:hint="eastAsia" w:ascii="仿宋_GB2312" w:eastAsia="仿宋_GB2312"/>
                <w:szCs w:val="21"/>
                <w:u w:val="single"/>
                <w:lang w:val="en-US" w:eastAsia="zh-CN"/>
              </w:rPr>
              <w:t>7</w:t>
            </w:r>
            <w:r>
              <w:rPr>
                <w:rFonts w:hint="eastAsia" w:ascii="仿宋_GB2312" w:eastAsia="仿宋_GB2312"/>
                <w:szCs w:val="21"/>
                <w:u w:val="single"/>
              </w:rPr>
              <w:t xml:space="preserve"> </w:t>
            </w:r>
            <w:r>
              <w:rPr>
                <w:rFonts w:hint="eastAsia" w:ascii="仿宋_GB2312" w:eastAsia="仿宋_GB2312"/>
                <w:szCs w:val="21"/>
              </w:rPr>
              <w:t>门课程的讲授，其中</w:t>
            </w:r>
            <w:r>
              <w:rPr>
                <w:rFonts w:hint="eastAsia" w:ascii="仿宋_GB2312" w:eastAsia="仿宋_GB2312"/>
                <w:szCs w:val="21"/>
                <w:u w:val="single"/>
              </w:rPr>
              <w:t xml:space="preserve"> </w:t>
            </w:r>
            <w:r>
              <w:rPr>
                <w:rFonts w:hint="eastAsia" w:ascii="仿宋_GB2312" w:eastAsia="仿宋_GB2312"/>
                <w:szCs w:val="21"/>
                <w:u w:val="single"/>
                <w:lang w:val="en-US" w:eastAsia="zh-CN"/>
              </w:rPr>
              <w:t>6</w:t>
            </w:r>
            <w:r>
              <w:rPr>
                <w:rFonts w:hint="eastAsia" w:ascii="仿宋_GB2312" w:eastAsia="仿宋_GB2312"/>
                <w:szCs w:val="21"/>
              </w:rPr>
              <w:t>门为必修课；总计课堂教学授课时数为</w:t>
            </w:r>
            <w:r>
              <w:rPr>
                <w:rFonts w:hint="eastAsia" w:ascii="仿宋_GB2312" w:eastAsia="仿宋_GB2312"/>
                <w:szCs w:val="21"/>
                <w:lang w:val="en-US" w:eastAsia="zh-CN"/>
              </w:rPr>
              <w:t xml:space="preserve"> </w:t>
            </w:r>
            <w:r>
              <w:rPr>
                <w:rFonts w:hint="eastAsia" w:ascii="仿宋_GB2312" w:eastAsia="仿宋_GB2312"/>
                <w:szCs w:val="21"/>
                <w:u w:val="single"/>
                <w:lang w:val="en-US" w:eastAsia="zh-CN"/>
              </w:rPr>
              <w:t>918</w:t>
            </w:r>
            <w:r>
              <w:rPr>
                <w:rFonts w:hint="eastAsia" w:ascii="仿宋_GB2312" w:eastAsia="仿宋_GB2312"/>
                <w:szCs w:val="21"/>
              </w:rPr>
              <w:t>学时，年平均课堂授课</w:t>
            </w:r>
            <w:r>
              <w:rPr>
                <w:rFonts w:hint="eastAsia" w:ascii="仿宋_GB2312" w:eastAsia="仿宋_GB2312"/>
                <w:szCs w:val="21"/>
                <w:u w:val="single"/>
                <w:lang w:val="en-US" w:eastAsia="zh-CN"/>
              </w:rPr>
              <w:t>367.2</w:t>
            </w:r>
            <w:r>
              <w:rPr>
                <w:rFonts w:hint="eastAsia" w:ascii="仿宋_GB2312" w:eastAsia="仿宋_GB2312"/>
                <w:szCs w:val="21"/>
                <w:u w:val="single"/>
              </w:rPr>
              <w:t xml:space="preserve"> </w:t>
            </w:r>
            <w:r>
              <w:rPr>
                <w:rFonts w:hint="eastAsia" w:ascii="仿宋_GB2312" w:eastAsia="仿宋_GB2312"/>
                <w:szCs w:val="21"/>
              </w:rPr>
              <w:t>学时，课堂教学质量测评“优秀”的次数达</w:t>
            </w:r>
            <w:r>
              <w:rPr>
                <w:rFonts w:hint="eastAsia" w:ascii="仿宋_GB2312" w:eastAsia="仿宋_GB2312"/>
                <w:szCs w:val="21"/>
                <w:u w:val="single"/>
              </w:rPr>
              <w:t xml:space="preserve"> </w:t>
            </w:r>
            <w:r>
              <w:rPr>
                <w:rFonts w:hint="eastAsia" w:ascii="仿宋_GB2312" w:eastAsia="仿宋_GB2312"/>
                <w:szCs w:val="21"/>
                <w:u w:val="single"/>
                <w:lang w:val="en-US" w:eastAsia="zh-CN"/>
              </w:rPr>
              <w:t>100</w:t>
            </w:r>
            <w:r>
              <w:rPr>
                <w:rFonts w:hint="eastAsia" w:ascii="仿宋_GB2312" w:eastAsia="仿宋_GB2312"/>
                <w:szCs w:val="21"/>
                <w:u w:val="single"/>
              </w:rPr>
              <w:t xml:space="preserve"> </w:t>
            </w:r>
            <w:r>
              <w:rPr>
                <w:rFonts w:hint="eastAsia" w:ascii="仿宋_GB2312" w:eastAsia="仿宋_GB2312"/>
                <w:szCs w:val="21"/>
              </w:rPr>
              <w:t>%。</w:t>
            </w:r>
          </w:p>
          <w:p>
            <w:pPr>
              <w:spacing w:line="300" w:lineRule="exact"/>
              <w:jc w:val="left"/>
              <w:rPr>
                <w:rFonts w:hint="eastAsia" w:ascii="宋体" w:hAnsi="宋体" w:cs="Arial" w:eastAsiaTheme="minorEastAsia"/>
                <w:color w:val="000000"/>
                <w:kern w:val="0"/>
                <w:szCs w:val="21"/>
                <w:lang w:eastAsia="zh-CN"/>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仿宋_GB2312" w:eastAsia="仿宋_GB2312"/>
                <w:szCs w:val="21"/>
              </w:rPr>
              <w:t>2015-2016学年度顶岗支教优秀带队指导教师；</w:t>
            </w:r>
          </w:p>
          <w:p>
            <w:pPr>
              <w:spacing w:line="300" w:lineRule="exact"/>
              <w:jc w:val="left"/>
              <w:rPr>
                <w:rFonts w:hint="eastAsia"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仿宋_GB2312" w:eastAsia="仿宋_GB2312"/>
                <w:szCs w:val="21"/>
              </w:rPr>
              <w:t>2015-2016学年度优秀班主任</w:t>
            </w:r>
            <w:r>
              <w:rPr>
                <w:rFonts w:hint="eastAsia" w:ascii="仿宋_GB2312" w:eastAsia="仿宋_GB2312"/>
                <w:szCs w:val="21"/>
                <w:lang w:eastAsia="zh-CN"/>
              </w:rPr>
              <w:t>；</w:t>
            </w:r>
          </w:p>
          <w:p>
            <w:pPr>
              <w:spacing w:line="300" w:lineRule="exact"/>
              <w:jc w:val="left"/>
              <w:rPr>
                <w:rFonts w:hint="eastAsia" w:ascii="宋体" w:hAnsi="宋体" w:cs="Arial" w:eastAsiaTheme="minorEastAsia"/>
                <w:color w:val="000000"/>
                <w:kern w:val="0"/>
                <w:szCs w:val="21"/>
                <w:lang w:eastAsia="zh-CN"/>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仿宋_GB2312" w:eastAsia="仿宋_GB2312"/>
                <w:szCs w:val="21"/>
              </w:rPr>
              <w:t>指导2012</w:t>
            </w:r>
            <w:r>
              <w:rPr>
                <w:rFonts w:hint="eastAsia" w:ascii="仿宋_GB2312" w:eastAsia="仿宋_GB2312"/>
                <w:szCs w:val="21"/>
                <w:lang w:eastAsia="zh-CN"/>
              </w:rPr>
              <w:t>级（</w:t>
            </w:r>
            <w:r>
              <w:rPr>
                <w:rFonts w:hint="eastAsia" w:ascii="仿宋_GB2312" w:eastAsia="仿宋_GB2312"/>
                <w:szCs w:val="21"/>
                <w:lang w:val="en-US" w:eastAsia="zh-CN"/>
              </w:rPr>
              <w:t>15人</w:t>
            </w:r>
            <w:r>
              <w:rPr>
                <w:rFonts w:hint="eastAsia" w:ascii="仿宋_GB2312" w:eastAsia="仿宋_GB2312"/>
                <w:szCs w:val="21"/>
                <w:lang w:eastAsia="zh-CN"/>
              </w:rPr>
              <w:t>）</w:t>
            </w:r>
            <w:r>
              <w:rPr>
                <w:rFonts w:hint="eastAsia" w:ascii="仿宋_GB2312" w:eastAsia="仿宋_GB2312"/>
                <w:szCs w:val="21"/>
              </w:rPr>
              <w:t>、2013</w:t>
            </w:r>
            <w:r>
              <w:rPr>
                <w:rFonts w:hint="eastAsia" w:ascii="仿宋_GB2312" w:eastAsia="仿宋_GB2312"/>
                <w:szCs w:val="21"/>
                <w:lang w:eastAsia="zh-CN"/>
              </w:rPr>
              <w:t>级（</w:t>
            </w:r>
            <w:r>
              <w:rPr>
                <w:rFonts w:hint="eastAsia" w:ascii="仿宋_GB2312" w:eastAsia="仿宋_GB2312"/>
                <w:szCs w:val="21"/>
                <w:lang w:val="en-US" w:eastAsia="zh-CN"/>
              </w:rPr>
              <w:t>10人</w:t>
            </w:r>
            <w:r>
              <w:rPr>
                <w:rFonts w:hint="eastAsia" w:ascii="仿宋_GB2312" w:eastAsia="仿宋_GB2312"/>
                <w:szCs w:val="21"/>
                <w:lang w:eastAsia="zh-CN"/>
              </w:rPr>
              <w:t>）</w:t>
            </w:r>
            <w:r>
              <w:rPr>
                <w:rFonts w:hint="eastAsia" w:ascii="仿宋_GB2312" w:eastAsia="仿宋_GB2312"/>
                <w:szCs w:val="21"/>
              </w:rPr>
              <w:t>、2014级</w:t>
            </w:r>
            <w:r>
              <w:rPr>
                <w:rFonts w:hint="eastAsia" w:ascii="仿宋_GB2312" w:eastAsia="仿宋_GB2312"/>
                <w:szCs w:val="21"/>
                <w:lang w:eastAsia="zh-CN"/>
              </w:rPr>
              <w:t>（</w:t>
            </w:r>
            <w:r>
              <w:rPr>
                <w:rFonts w:hint="eastAsia" w:ascii="仿宋_GB2312" w:eastAsia="仿宋_GB2312"/>
                <w:szCs w:val="21"/>
                <w:lang w:val="en-US" w:eastAsia="zh-CN"/>
              </w:rPr>
              <w:t>10人</w:t>
            </w:r>
            <w:r>
              <w:rPr>
                <w:rFonts w:hint="eastAsia" w:ascii="仿宋_GB2312" w:eastAsia="仿宋_GB2312"/>
                <w:szCs w:val="21"/>
                <w:lang w:eastAsia="zh-CN"/>
              </w:rPr>
              <w:t>）</w:t>
            </w:r>
            <w:r>
              <w:rPr>
                <w:rFonts w:hint="eastAsia" w:ascii="仿宋_GB2312" w:eastAsia="仿宋_GB2312"/>
                <w:szCs w:val="21"/>
              </w:rPr>
              <w:t>思政专业本科生毕业论文；</w:t>
            </w:r>
          </w:p>
          <w:p>
            <w:pPr>
              <w:spacing w:line="300" w:lineRule="exact"/>
              <w:jc w:val="left"/>
              <w:rPr>
                <w:rFonts w:hint="eastAsia" w:ascii="仿宋_GB2312" w:eastAsia="仿宋_GB2312"/>
                <w:szCs w:val="21"/>
                <w:lang w:val="en-US" w:eastAsia="zh-CN"/>
              </w:rPr>
            </w:pPr>
            <w:r>
              <w:rPr>
                <w:rFonts w:ascii="宋体" w:hAnsi="宋体" w:cs="Arial"/>
                <w:color w:val="000000"/>
                <w:kern w:val="0"/>
                <w:szCs w:val="21"/>
              </w:rPr>
              <w:t>⑤</w:t>
            </w:r>
            <w:r>
              <w:rPr>
                <w:rFonts w:hint="eastAsia" w:ascii="仿宋_GB2312" w:eastAsia="仿宋_GB2312"/>
                <w:szCs w:val="21"/>
              </w:rPr>
              <w:t>2016年7月带领马克思主义学院思政专业本科生赴福建、江西</w:t>
            </w:r>
            <w:r>
              <w:rPr>
                <w:rFonts w:hint="eastAsia" w:ascii="仿宋_GB2312" w:eastAsia="仿宋_GB2312"/>
                <w:szCs w:val="21"/>
                <w:lang w:eastAsia="zh-CN"/>
              </w:rPr>
              <w:t>暑期</w:t>
            </w:r>
            <w:r>
              <w:rPr>
                <w:rFonts w:hint="eastAsia" w:ascii="仿宋_GB2312" w:eastAsia="仿宋_GB2312"/>
                <w:szCs w:val="21"/>
              </w:rPr>
              <w:t>实践调研</w:t>
            </w:r>
            <w:r>
              <w:rPr>
                <w:rFonts w:hint="eastAsia" w:ascii="仿宋_GB2312" w:eastAsia="仿宋_GB2312"/>
                <w:szCs w:val="21"/>
                <w:lang w:val="en-US" w:eastAsia="zh-CN"/>
              </w:rPr>
              <w:t>,主题：“追根溯源、红旗不倒”</w:t>
            </w:r>
            <w:r>
              <w:rPr>
                <w:rFonts w:hint="eastAsia" w:ascii="仿宋_GB2312" w:eastAsia="仿宋_GB2312"/>
                <w:szCs w:val="21"/>
                <w:lang w:eastAsia="zh-CN"/>
              </w:rPr>
              <w:t>。</w:t>
            </w:r>
          </w:p>
          <w:p>
            <w:pPr>
              <w:spacing w:line="300" w:lineRule="exact"/>
              <w:jc w:val="left"/>
              <w:rPr>
                <w:rFonts w:ascii="宋体" w:hAnsi="宋体" w:cs="Arial"/>
                <w:color w:val="000000"/>
                <w:kern w:val="0"/>
                <w:szCs w:val="21"/>
              </w:rPr>
            </w:pPr>
            <w:r>
              <w:rPr>
                <w:rFonts w:hint="eastAsia" w:ascii="宋体" w:hAnsi="宋体" w:cs="Arial"/>
                <w:color w:val="000000"/>
                <w:kern w:val="0"/>
                <w:szCs w:val="21"/>
                <w:lang w:val="en-US" w:eastAsia="zh-CN"/>
              </w:rPr>
              <w:t xml:space="preserve"> </w:t>
            </w:r>
          </w:p>
        </w:tc>
      </w:tr>
      <w:tr>
        <w:tblPrEx>
          <w:tblLayout w:type="fixed"/>
          <w:tblCellMar>
            <w:top w:w="0" w:type="dxa"/>
            <w:left w:w="108" w:type="dxa"/>
            <w:bottom w:w="0" w:type="dxa"/>
            <w:right w:w="108" w:type="dxa"/>
          </w:tblCellMar>
        </w:tblPrEx>
        <w:trPr>
          <w:trHeight w:val="465" w:hRule="atLeast"/>
        </w:trPr>
        <w:tc>
          <w:tcPr>
            <w:tcW w:w="170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p>
        </w:tc>
        <w:tc>
          <w:tcPr>
            <w:tcW w:w="561"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lang w:eastAsia="zh-CN"/>
              </w:rPr>
            </w:pPr>
            <w:r>
              <w:rPr>
                <w:rFonts w:hint="eastAsia" w:ascii="仿宋_GB2312" w:eastAsia="仿宋_GB2312"/>
                <w:szCs w:val="21"/>
              </w:rPr>
              <w:t>2016年度海南省高校思想政治理论课青年教师教学基本功比赛</w:t>
            </w:r>
            <w:r>
              <w:rPr>
                <w:rFonts w:hint="eastAsia" w:ascii="仿宋_GB2312" w:eastAsia="仿宋_GB2312"/>
                <w:szCs w:val="21"/>
                <w:lang w:eastAsia="zh-CN"/>
              </w:rPr>
              <w:t>三等奖</w:t>
            </w:r>
          </w:p>
          <w:p>
            <w:pPr>
              <w:spacing w:line="300" w:lineRule="exact"/>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val="en-US" w:eastAsia="zh-CN"/>
              </w:rPr>
              <w:t xml:space="preserve"> </w:t>
            </w:r>
          </w:p>
        </w:tc>
      </w:tr>
      <w:tr>
        <w:tblPrEx>
          <w:tblLayout w:type="fixed"/>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任现职以来（或近七年）教学工作情况</w:t>
            </w:r>
          </w:p>
        </w:tc>
      </w:tr>
      <w:tr>
        <w:tblPrEx>
          <w:tblLayout w:type="fixed"/>
          <w:tblCellMar>
            <w:top w:w="0" w:type="dxa"/>
            <w:left w:w="108" w:type="dxa"/>
            <w:bottom w:w="0" w:type="dxa"/>
            <w:right w:w="108" w:type="dxa"/>
          </w:tblCellMar>
        </w:tblPrEx>
        <w:trPr>
          <w:trHeight w:val="563" w:hRule="atLeast"/>
        </w:trPr>
        <w:tc>
          <w:tcPr>
            <w:tcW w:w="1707"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680" w:type="dxa"/>
            <w:gridSpan w:val="2"/>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Layout w:type="fixed"/>
          <w:tblCellMar>
            <w:top w:w="0" w:type="dxa"/>
            <w:left w:w="108" w:type="dxa"/>
            <w:bottom w:w="0" w:type="dxa"/>
            <w:right w:w="108" w:type="dxa"/>
          </w:tblCellMar>
        </w:tblPrEx>
        <w:trPr>
          <w:trHeight w:val="495" w:hRule="atLeast"/>
        </w:trPr>
        <w:tc>
          <w:tcPr>
            <w:tcW w:w="1707" w:type="dxa"/>
            <w:vMerge w:val="restart"/>
            <w:tcBorders>
              <w:top w:val="single" w:color="auto" w:sz="4" w:space="0"/>
              <w:left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2015-2016(一)</w:t>
            </w:r>
          </w:p>
        </w:tc>
        <w:tc>
          <w:tcPr>
            <w:tcW w:w="3680"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rPr>
              <w:t>现代西方伦理学</w:t>
            </w:r>
          </w:p>
        </w:tc>
        <w:tc>
          <w:tcPr>
            <w:tcW w:w="2126"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lang w:eastAsia="zh-CN"/>
              </w:rPr>
            </w:pPr>
            <w:r>
              <w:rPr>
                <w:rFonts w:hint="eastAsia" w:ascii="仿宋_GB2312" w:eastAsia="仿宋_GB2312"/>
                <w:szCs w:val="21"/>
                <w:lang w:val="en-US" w:eastAsia="zh-CN"/>
              </w:rPr>
              <w:t>2012级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36</w:t>
            </w:r>
          </w:p>
        </w:tc>
        <w:tc>
          <w:tcPr>
            <w:tcW w:w="709" w:type="dxa"/>
            <w:vMerge w:val="restart"/>
            <w:tcBorders>
              <w:top w:val="single" w:color="auto" w:sz="4" w:space="0"/>
              <w:left w:val="single" w:color="auto" w:sz="4" w:space="0"/>
              <w:right w:val="single" w:color="auto" w:sz="4" w:space="0"/>
            </w:tcBorders>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A</w:t>
            </w:r>
          </w:p>
        </w:tc>
        <w:tc>
          <w:tcPr>
            <w:tcW w:w="850"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113" w:hRule="atLeast"/>
        </w:trPr>
        <w:tc>
          <w:tcPr>
            <w:tcW w:w="1707" w:type="dxa"/>
            <w:vMerge w:val="continue"/>
            <w:tcBorders>
              <w:left w:val="single" w:color="auto" w:sz="4" w:space="0"/>
              <w:right w:val="single" w:color="auto" w:sz="4" w:space="0"/>
            </w:tcBorders>
            <w:vAlign w:val="center"/>
          </w:tcPr>
          <w:p>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rPr>
              <w:t>管理学概论</w:t>
            </w:r>
          </w:p>
        </w:tc>
        <w:tc>
          <w:tcPr>
            <w:tcW w:w="2126"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lang w:val="en-US" w:eastAsia="zh-CN"/>
              </w:rPr>
              <w:t>2014级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54</w:t>
            </w:r>
          </w:p>
        </w:tc>
        <w:tc>
          <w:tcPr>
            <w:tcW w:w="709" w:type="dxa"/>
            <w:vMerge w:val="continue"/>
            <w:tcBorders>
              <w:left w:val="single" w:color="auto" w:sz="4" w:space="0"/>
              <w:right w:val="single" w:color="auto" w:sz="4" w:space="0"/>
            </w:tcBorders>
            <w:vAlign w:val="center"/>
          </w:tcPr>
          <w:p>
            <w:pPr>
              <w:spacing w:line="240" w:lineRule="exact"/>
              <w:jc w:val="center"/>
              <w:rPr>
                <w:rFonts w:ascii="仿宋_GB2312" w:eastAsia="仿宋_GB2312"/>
                <w:sz w:val="21"/>
                <w:szCs w:val="21"/>
              </w:rPr>
            </w:pPr>
          </w:p>
        </w:tc>
        <w:tc>
          <w:tcPr>
            <w:tcW w:w="850" w:type="dxa"/>
            <w:vMerge w:val="continue"/>
            <w:tcBorders>
              <w:left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113" w:hRule="atLeast"/>
        </w:trPr>
        <w:tc>
          <w:tcPr>
            <w:tcW w:w="1707" w:type="dxa"/>
            <w:vMerge w:val="continue"/>
            <w:tcBorders>
              <w:left w:val="single" w:color="auto" w:sz="4" w:space="0"/>
              <w:right w:val="single" w:color="auto" w:sz="4" w:space="0"/>
            </w:tcBorders>
            <w:vAlign w:val="center"/>
          </w:tcPr>
          <w:p>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rPr>
              <w:t>教育见习</w:t>
            </w:r>
          </w:p>
        </w:tc>
        <w:tc>
          <w:tcPr>
            <w:tcW w:w="2126"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2013级思政</w:t>
            </w:r>
            <w:r>
              <w:rPr>
                <w:rFonts w:hint="eastAsia" w:ascii="仿宋_GB2312" w:eastAsia="仿宋_GB2312"/>
                <w:szCs w:val="21"/>
                <w:lang w:eastAsia="zh-CN"/>
              </w:rPr>
              <w:t>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w:t>
            </w:r>
          </w:p>
        </w:tc>
        <w:tc>
          <w:tcPr>
            <w:tcW w:w="709" w:type="dxa"/>
            <w:vMerge w:val="continue"/>
            <w:tcBorders>
              <w:left w:val="single" w:color="auto" w:sz="4" w:space="0"/>
              <w:right w:val="single" w:color="auto" w:sz="4" w:space="0"/>
            </w:tcBorders>
            <w:vAlign w:val="center"/>
          </w:tcPr>
          <w:p>
            <w:pPr>
              <w:spacing w:line="240" w:lineRule="exact"/>
              <w:jc w:val="center"/>
              <w:rPr>
                <w:rFonts w:ascii="仿宋_GB2312" w:eastAsia="仿宋_GB2312"/>
                <w:sz w:val="21"/>
                <w:szCs w:val="21"/>
              </w:rPr>
            </w:pPr>
          </w:p>
        </w:tc>
        <w:tc>
          <w:tcPr>
            <w:tcW w:w="850" w:type="dxa"/>
            <w:vMerge w:val="continue"/>
            <w:tcBorders>
              <w:left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113" w:hRule="atLeast"/>
        </w:trPr>
        <w:tc>
          <w:tcPr>
            <w:tcW w:w="1707" w:type="dxa"/>
            <w:vMerge w:val="continue"/>
            <w:tcBorders>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rPr>
              <w:t>教育实习</w:t>
            </w:r>
          </w:p>
        </w:tc>
        <w:tc>
          <w:tcPr>
            <w:tcW w:w="2126"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lang w:val="en-US" w:eastAsia="zh-CN"/>
              </w:rPr>
              <w:t>2012</w:t>
            </w:r>
            <w:r>
              <w:rPr>
                <w:rFonts w:hint="eastAsia" w:ascii="仿宋_GB2312" w:eastAsia="仿宋_GB2312"/>
                <w:szCs w:val="21"/>
                <w:lang w:eastAsia="zh-CN"/>
              </w:rPr>
              <w:t>级思政本（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80</w:t>
            </w:r>
          </w:p>
        </w:tc>
        <w:tc>
          <w:tcPr>
            <w:tcW w:w="70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1"/>
                <w:szCs w:val="21"/>
              </w:rPr>
            </w:pPr>
          </w:p>
        </w:tc>
        <w:tc>
          <w:tcPr>
            <w:tcW w:w="850"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151" w:hRule="atLeast"/>
        </w:trPr>
        <w:tc>
          <w:tcPr>
            <w:tcW w:w="1707" w:type="dxa"/>
            <w:vMerge w:val="restart"/>
            <w:tcBorders>
              <w:top w:val="single" w:color="auto" w:sz="4" w:space="0"/>
              <w:left w:val="single" w:color="auto" w:sz="4" w:space="0"/>
              <w:right w:val="single" w:color="auto"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lang w:val="en-US" w:eastAsia="zh-CN"/>
              </w:rPr>
              <w:t>2015-2016(二)</w:t>
            </w:r>
          </w:p>
        </w:tc>
        <w:tc>
          <w:tcPr>
            <w:tcW w:w="3680"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rPr>
              <w:t>世界政治经济与国际关系</w:t>
            </w:r>
          </w:p>
        </w:tc>
        <w:tc>
          <w:tcPr>
            <w:tcW w:w="2126"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lang w:val="en-US" w:eastAsia="zh-CN"/>
              </w:rPr>
              <w:t>2013级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54</w:t>
            </w:r>
          </w:p>
        </w:tc>
        <w:tc>
          <w:tcPr>
            <w:tcW w:w="709" w:type="dxa"/>
            <w:vMerge w:val="restart"/>
            <w:tcBorders>
              <w:top w:val="single" w:color="auto" w:sz="4" w:space="0"/>
              <w:left w:val="single" w:color="auto" w:sz="4" w:space="0"/>
              <w:right w:val="single" w:color="auto" w:sz="4" w:space="0"/>
            </w:tcBorders>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A</w:t>
            </w:r>
          </w:p>
        </w:tc>
        <w:tc>
          <w:tcPr>
            <w:tcW w:w="850"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151" w:hRule="atLeast"/>
        </w:trPr>
        <w:tc>
          <w:tcPr>
            <w:tcW w:w="1707" w:type="dxa"/>
            <w:vMerge w:val="continue"/>
            <w:tcBorders>
              <w:left w:val="single" w:color="auto" w:sz="4" w:space="0"/>
              <w:right w:val="single" w:color="auto" w:sz="4" w:space="0"/>
            </w:tcBorders>
            <w:vAlign w:val="center"/>
          </w:tcPr>
          <w:p>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rPr>
              <w:t>政治经济学</w:t>
            </w:r>
          </w:p>
        </w:tc>
        <w:tc>
          <w:tcPr>
            <w:tcW w:w="2126"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lang w:val="en-US" w:eastAsia="zh-CN"/>
              </w:rPr>
              <w:t>2014级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54</w:t>
            </w:r>
          </w:p>
        </w:tc>
        <w:tc>
          <w:tcPr>
            <w:tcW w:w="709" w:type="dxa"/>
            <w:vMerge w:val="continue"/>
            <w:tcBorders>
              <w:left w:val="single" w:color="auto" w:sz="4" w:space="0"/>
              <w:right w:val="single" w:color="auto" w:sz="4" w:space="0"/>
            </w:tcBorders>
            <w:vAlign w:val="center"/>
          </w:tcPr>
          <w:p>
            <w:pPr>
              <w:spacing w:line="240" w:lineRule="exact"/>
              <w:jc w:val="center"/>
              <w:rPr>
                <w:rFonts w:ascii="仿宋_GB2312" w:eastAsia="仿宋_GB2312"/>
                <w:sz w:val="21"/>
                <w:szCs w:val="21"/>
              </w:rPr>
            </w:pPr>
          </w:p>
        </w:tc>
        <w:tc>
          <w:tcPr>
            <w:tcW w:w="850" w:type="dxa"/>
            <w:vMerge w:val="continue"/>
            <w:tcBorders>
              <w:left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151" w:hRule="atLeast"/>
        </w:trPr>
        <w:tc>
          <w:tcPr>
            <w:tcW w:w="1707" w:type="dxa"/>
            <w:vMerge w:val="continue"/>
            <w:tcBorders>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rPr>
              <w:t>毕业论文设计</w:t>
            </w:r>
          </w:p>
        </w:tc>
        <w:tc>
          <w:tcPr>
            <w:tcW w:w="2126"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lang w:val="en-US" w:eastAsia="zh-CN"/>
              </w:rPr>
              <w:t>2012级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105</w:t>
            </w:r>
          </w:p>
        </w:tc>
        <w:tc>
          <w:tcPr>
            <w:tcW w:w="70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1"/>
                <w:szCs w:val="21"/>
              </w:rPr>
            </w:pPr>
          </w:p>
        </w:tc>
        <w:tc>
          <w:tcPr>
            <w:tcW w:w="850"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177" w:hRule="atLeast"/>
        </w:trPr>
        <w:tc>
          <w:tcPr>
            <w:tcW w:w="1707" w:type="dxa"/>
            <w:vMerge w:val="restart"/>
            <w:tcBorders>
              <w:top w:val="single" w:color="auto" w:sz="4" w:space="0"/>
              <w:left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2016-2017(一)</w:t>
            </w:r>
          </w:p>
        </w:tc>
        <w:tc>
          <w:tcPr>
            <w:tcW w:w="3680"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lang w:eastAsia="zh-CN"/>
              </w:rPr>
              <w:t>哲学导论（</w:t>
            </w:r>
            <w:r>
              <w:rPr>
                <w:rFonts w:hint="eastAsia" w:ascii="仿宋_GB2312" w:eastAsia="仿宋_GB2312"/>
                <w:szCs w:val="21"/>
                <w:lang w:val="en-US" w:eastAsia="zh-CN"/>
              </w:rPr>
              <w:t>13方案</w:t>
            </w:r>
            <w:r>
              <w:rPr>
                <w:rFonts w:hint="eastAsia" w:ascii="仿宋_GB2312" w:eastAsia="仿宋_GB2312"/>
                <w:szCs w:val="21"/>
                <w:lang w:eastAsia="zh-CN"/>
              </w:rPr>
              <w:t>）</w:t>
            </w:r>
          </w:p>
        </w:tc>
        <w:tc>
          <w:tcPr>
            <w:tcW w:w="2126"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lang w:val="en-US" w:eastAsia="zh-CN"/>
              </w:rPr>
              <w:t>2013级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54</w:t>
            </w:r>
          </w:p>
        </w:tc>
        <w:tc>
          <w:tcPr>
            <w:tcW w:w="709" w:type="dxa"/>
            <w:vMerge w:val="restart"/>
            <w:tcBorders>
              <w:top w:val="single" w:color="auto" w:sz="4" w:space="0"/>
              <w:left w:val="single" w:color="auto" w:sz="4" w:space="0"/>
              <w:right w:val="single" w:color="auto" w:sz="4" w:space="0"/>
            </w:tcBorders>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A</w:t>
            </w:r>
          </w:p>
        </w:tc>
        <w:tc>
          <w:tcPr>
            <w:tcW w:w="850"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177" w:hRule="atLeast"/>
        </w:trPr>
        <w:tc>
          <w:tcPr>
            <w:tcW w:w="1707" w:type="dxa"/>
            <w:vMerge w:val="continue"/>
            <w:tcBorders>
              <w:left w:val="single" w:color="auto" w:sz="4" w:space="0"/>
              <w:right w:val="single" w:color="auto" w:sz="4" w:space="0"/>
            </w:tcBorders>
            <w:vAlign w:val="center"/>
          </w:tcPr>
          <w:p>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lang w:eastAsia="zh-CN"/>
              </w:rPr>
              <w:t>哲学导论（</w:t>
            </w:r>
            <w:r>
              <w:rPr>
                <w:rFonts w:hint="eastAsia" w:ascii="仿宋_GB2312" w:eastAsia="仿宋_GB2312"/>
                <w:szCs w:val="21"/>
                <w:lang w:val="en-US" w:eastAsia="zh-CN"/>
              </w:rPr>
              <w:t>16方案</w:t>
            </w:r>
            <w:r>
              <w:rPr>
                <w:rFonts w:hint="eastAsia" w:ascii="仿宋_GB2312" w:eastAsia="仿宋_GB2312"/>
                <w:szCs w:val="21"/>
                <w:lang w:eastAsia="zh-CN"/>
              </w:rPr>
              <w:t>）</w:t>
            </w:r>
          </w:p>
        </w:tc>
        <w:tc>
          <w:tcPr>
            <w:tcW w:w="2126"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2016级文史法类（1）班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51</w:t>
            </w:r>
          </w:p>
        </w:tc>
        <w:tc>
          <w:tcPr>
            <w:tcW w:w="709" w:type="dxa"/>
            <w:vMerge w:val="continue"/>
            <w:tcBorders>
              <w:left w:val="single" w:color="auto" w:sz="4" w:space="0"/>
              <w:right w:val="single" w:color="auto" w:sz="4" w:space="0"/>
            </w:tcBorders>
            <w:vAlign w:val="center"/>
          </w:tcPr>
          <w:p>
            <w:pPr>
              <w:spacing w:line="240" w:lineRule="exact"/>
              <w:jc w:val="center"/>
              <w:rPr>
                <w:rFonts w:ascii="仿宋_GB2312" w:eastAsia="仿宋_GB2312"/>
                <w:sz w:val="21"/>
                <w:szCs w:val="21"/>
              </w:rPr>
            </w:pPr>
          </w:p>
        </w:tc>
        <w:tc>
          <w:tcPr>
            <w:tcW w:w="850" w:type="dxa"/>
            <w:vMerge w:val="continue"/>
            <w:tcBorders>
              <w:left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177" w:hRule="atLeast"/>
        </w:trPr>
        <w:tc>
          <w:tcPr>
            <w:tcW w:w="1707" w:type="dxa"/>
            <w:vMerge w:val="continue"/>
            <w:tcBorders>
              <w:left w:val="single" w:color="auto" w:sz="4" w:space="0"/>
              <w:right w:val="single" w:color="auto" w:sz="4" w:space="0"/>
            </w:tcBorders>
            <w:vAlign w:val="center"/>
          </w:tcPr>
          <w:p>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rPr>
              <w:t>教育见习</w:t>
            </w:r>
          </w:p>
          <w:p>
            <w:pPr>
              <w:spacing w:line="300" w:lineRule="exact"/>
              <w:jc w:val="left"/>
              <w:rPr>
                <w:rFonts w:hint="eastAsia"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lang w:val="en-US" w:eastAsia="zh-CN"/>
              </w:rPr>
              <w:t>2014级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w:t>
            </w:r>
          </w:p>
        </w:tc>
        <w:tc>
          <w:tcPr>
            <w:tcW w:w="709" w:type="dxa"/>
            <w:vMerge w:val="continue"/>
            <w:tcBorders>
              <w:left w:val="single" w:color="auto" w:sz="4" w:space="0"/>
              <w:right w:val="single" w:color="auto" w:sz="4" w:space="0"/>
            </w:tcBorders>
            <w:vAlign w:val="center"/>
          </w:tcPr>
          <w:p>
            <w:pPr>
              <w:spacing w:line="240" w:lineRule="exact"/>
              <w:jc w:val="center"/>
              <w:rPr>
                <w:rFonts w:ascii="仿宋_GB2312" w:eastAsia="仿宋_GB2312"/>
                <w:sz w:val="21"/>
                <w:szCs w:val="21"/>
              </w:rPr>
            </w:pPr>
          </w:p>
        </w:tc>
        <w:tc>
          <w:tcPr>
            <w:tcW w:w="850" w:type="dxa"/>
            <w:vMerge w:val="continue"/>
            <w:tcBorders>
              <w:left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511" w:hRule="atLeast"/>
        </w:trPr>
        <w:tc>
          <w:tcPr>
            <w:tcW w:w="1707" w:type="dxa"/>
            <w:vMerge w:val="continue"/>
            <w:tcBorders>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rPr>
              <w:t>教育实习</w:t>
            </w:r>
          </w:p>
          <w:p>
            <w:pPr>
              <w:spacing w:line="300" w:lineRule="exact"/>
              <w:jc w:val="left"/>
              <w:rPr>
                <w:rFonts w:hint="eastAsia"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lang w:val="en-US" w:eastAsia="zh-CN"/>
              </w:rPr>
              <w:t>2013级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80</w:t>
            </w:r>
          </w:p>
        </w:tc>
        <w:tc>
          <w:tcPr>
            <w:tcW w:w="70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1"/>
                <w:szCs w:val="21"/>
              </w:rPr>
            </w:pPr>
          </w:p>
        </w:tc>
        <w:tc>
          <w:tcPr>
            <w:tcW w:w="850"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151" w:hRule="atLeast"/>
        </w:trPr>
        <w:tc>
          <w:tcPr>
            <w:tcW w:w="1707" w:type="dxa"/>
            <w:vMerge w:val="restart"/>
            <w:tcBorders>
              <w:top w:val="single" w:color="auto" w:sz="4" w:space="0"/>
              <w:left w:val="single" w:color="auto" w:sz="4" w:space="0"/>
              <w:right w:val="single" w:color="auto"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lang w:val="en-US" w:eastAsia="zh-CN"/>
              </w:rPr>
              <w:t>2016-2017(二)</w:t>
            </w:r>
          </w:p>
        </w:tc>
        <w:tc>
          <w:tcPr>
            <w:tcW w:w="3680"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哲学导论（16方案）</w:t>
            </w:r>
          </w:p>
          <w:p>
            <w:pPr>
              <w:spacing w:line="300" w:lineRule="exact"/>
              <w:jc w:val="left"/>
              <w:rPr>
                <w:rFonts w:hint="eastAsia"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lang w:val="en-US" w:eastAsia="zh-CN"/>
              </w:rPr>
              <w:t>2016级文史法类（12）、（13）班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102</w:t>
            </w:r>
          </w:p>
        </w:tc>
        <w:tc>
          <w:tcPr>
            <w:tcW w:w="709" w:type="dxa"/>
            <w:vMerge w:val="restart"/>
            <w:tcBorders>
              <w:top w:val="single" w:color="auto" w:sz="4" w:space="0"/>
              <w:left w:val="single" w:color="auto" w:sz="4" w:space="0"/>
              <w:right w:val="single" w:color="auto" w:sz="4" w:space="0"/>
            </w:tcBorders>
            <w:vAlign w:val="center"/>
          </w:tcPr>
          <w:p>
            <w:pPr>
              <w:spacing w:line="240" w:lineRule="exact"/>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A</w:t>
            </w:r>
          </w:p>
        </w:tc>
        <w:tc>
          <w:tcPr>
            <w:tcW w:w="850"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151" w:hRule="atLeast"/>
        </w:trPr>
        <w:tc>
          <w:tcPr>
            <w:tcW w:w="1707" w:type="dxa"/>
            <w:vMerge w:val="continue"/>
            <w:tcBorders>
              <w:left w:val="single" w:color="auto" w:sz="4" w:space="0"/>
              <w:right w:val="single" w:color="auto" w:sz="4" w:space="0"/>
            </w:tcBorders>
            <w:vAlign w:val="center"/>
          </w:tcPr>
          <w:p>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现代西方伦理学</w:t>
            </w:r>
          </w:p>
          <w:p>
            <w:pPr>
              <w:spacing w:line="300" w:lineRule="exact"/>
              <w:jc w:val="left"/>
              <w:rPr>
                <w:rFonts w:hint="eastAsia"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lang w:val="en-US" w:eastAsia="zh-CN"/>
              </w:rPr>
              <w:t>2013级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36</w:t>
            </w:r>
          </w:p>
        </w:tc>
        <w:tc>
          <w:tcPr>
            <w:tcW w:w="709" w:type="dxa"/>
            <w:vMerge w:val="continue"/>
            <w:tcBorders>
              <w:left w:val="single" w:color="auto" w:sz="4" w:space="0"/>
              <w:right w:val="single" w:color="auto" w:sz="4" w:space="0"/>
            </w:tcBorders>
            <w:vAlign w:val="center"/>
          </w:tcPr>
          <w:p>
            <w:pPr>
              <w:spacing w:line="240" w:lineRule="exact"/>
              <w:jc w:val="center"/>
              <w:rPr>
                <w:rFonts w:ascii="仿宋_GB2312" w:eastAsia="仿宋_GB2312"/>
                <w:sz w:val="21"/>
                <w:szCs w:val="21"/>
              </w:rPr>
            </w:pPr>
          </w:p>
        </w:tc>
        <w:tc>
          <w:tcPr>
            <w:tcW w:w="850" w:type="dxa"/>
            <w:vMerge w:val="continue"/>
            <w:tcBorders>
              <w:left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151" w:hRule="atLeast"/>
        </w:trPr>
        <w:tc>
          <w:tcPr>
            <w:tcW w:w="1707" w:type="dxa"/>
            <w:vMerge w:val="continue"/>
            <w:tcBorders>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rPr>
              <w:t>毕业论文设计</w:t>
            </w:r>
          </w:p>
          <w:p>
            <w:pPr>
              <w:spacing w:line="300" w:lineRule="exact"/>
              <w:jc w:val="left"/>
              <w:rPr>
                <w:rFonts w:hint="eastAsia"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lang w:val="en-US" w:eastAsia="zh-CN"/>
              </w:rPr>
              <w:t>2013级</w:t>
            </w:r>
            <w:r>
              <w:rPr>
                <w:rFonts w:hint="eastAsia" w:ascii="仿宋_GB2312" w:eastAsia="仿宋_GB2312"/>
                <w:szCs w:val="21"/>
                <w:lang w:eastAsia="zh-CN"/>
              </w:rPr>
              <w:t>思政本（</w:t>
            </w:r>
            <w:r>
              <w:rPr>
                <w:rFonts w:hint="eastAsia" w:ascii="仿宋_GB2312" w:eastAsia="仿宋_GB2312"/>
                <w:szCs w:val="21"/>
                <w:lang w:val="en-US" w:eastAsia="zh-CN"/>
              </w:rPr>
              <w:t>1</w:t>
            </w:r>
            <w:r>
              <w:rPr>
                <w:rFonts w:hint="eastAsia" w:ascii="仿宋_GB2312" w:eastAsia="仿宋_GB2312"/>
                <w:szCs w:val="21"/>
                <w:lang w:eastAsia="zh-CN"/>
              </w:rPr>
              <w:t>）、本（</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70</w:t>
            </w:r>
          </w:p>
        </w:tc>
        <w:tc>
          <w:tcPr>
            <w:tcW w:w="70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1"/>
                <w:szCs w:val="21"/>
              </w:rPr>
            </w:pPr>
          </w:p>
        </w:tc>
        <w:tc>
          <w:tcPr>
            <w:tcW w:w="850"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227" w:hRule="atLeast"/>
        </w:trPr>
        <w:tc>
          <w:tcPr>
            <w:tcW w:w="1707" w:type="dxa"/>
            <w:vMerge w:val="restart"/>
            <w:tcBorders>
              <w:top w:val="single" w:color="auto" w:sz="4" w:space="0"/>
              <w:left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2017-2018(一)</w:t>
            </w:r>
          </w:p>
        </w:tc>
        <w:tc>
          <w:tcPr>
            <w:tcW w:w="3680"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马克思主义基本原理概论</w:t>
            </w:r>
          </w:p>
          <w:p>
            <w:pPr>
              <w:spacing w:line="300" w:lineRule="exact"/>
              <w:jc w:val="left"/>
              <w:rPr>
                <w:rFonts w:hint="eastAsia"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2016软件工程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51</w:t>
            </w:r>
          </w:p>
        </w:tc>
        <w:tc>
          <w:tcPr>
            <w:tcW w:w="709"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 w:val="21"/>
                <w:szCs w:val="21"/>
              </w:rPr>
            </w:pPr>
            <w:r>
              <w:rPr>
                <w:rFonts w:hint="eastAsia" w:ascii="仿宋_GB2312" w:eastAsia="仿宋_GB2312"/>
                <w:sz w:val="21"/>
                <w:szCs w:val="21"/>
                <w:lang w:val="en-US" w:eastAsia="zh-CN"/>
              </w:rPr>
              <w:t>A</w:t>
            </w:r>
          </w:p>
        </w:tc>
        <w:tc>
          <w:tcPr>
            <w:tcW w:w="850" w:type="dxa"/>
            <w:vMerge w:val="restart"/>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227" w:hRule="atLeast"/>
        </w:trPr>
        <w:tc>
          <w:tcPr>
            <w:tcW w:w="1707" w:type="dxa"/>
            <w:vMerge w:val="continue"/>
            <w:tcBorders>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pPr>
              <w:spacing w:line="300" w:lineRule="exact"/>
              <w:jc w:val="left"/>
              <w:rPr>
                <w:rFonts w:hint="eastAsia" w:ascii="仿宋_GB2312" w:eastAsia="仿宋_GB2312"/>
                <w:szCs w:val="21"/>
              </w:rPr>
            </w:pPr>
            <w:r>
              <w:rPr>
                <w:rFonts w:hint="eastAsia" w:ascii="仿宋_GB2312" w:eastAsia="仿宋_GB2312"/>
                <w:szCs w:val="21"/>
                <w:lang w:val="en-US" w:eastAsia="zh-CN"/>
              </w:rPr>
              <w:t>哲学导论（16方案）</w:t>
            </w:r>
          </w:p>
        </w:tc>
        <w:tc>
          <w:tcPr>
            <w:tcW w:w="2126"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2017级文史法类 （13）班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51</w:t>
            </w:r>
          </w:p>
        </w:tc>
        <w:tc>
          <w:tcPr>
            <w:tcW w:w="709" w:type="dxa"/>
            <w:vMerge w:val="continue"/>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1"/>
                <w:szCs w:val="21"/>
              </w:rPr>
            </w:pPr>
          </w:p>
        </w:tc>
        <w:tc>
          <w:tcPr>
            <w:tcW w:w="850" w:type="dxa"/>
            <w:vMerge w:val="continue"/>
            <w:tcBorders>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 w:val="21"/>
                <w:szCs w:val="21"/>
              </w:rPr>
            </w:pPr>
          </w:p>
        </w:tc>
      </w:tr>
      <w:tr>
        <w:tblPrEx>
          <w:tblLayout w:type="fixed"/>
          <w:tblCellMar>
            <w:top w:w="0" w:type="dxa"/>
            <w:left w:w="108" w:type="dxa"/>
            <w:bottom w:w="0" w:type="dxa"/>
            <w:right w:w="108" w:type="dxa"/>
          </w:tblCellMar>
        </w:tblPrEx>
        <w:trPr>
          <w:trHeight w:val="465" w:hRule="atLeast"/>
        </w:trPr>
        <w:tc>
          <w:tcPr>
            <w:tcW w:w="17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68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 xml:space="preserve"> </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bl>
    <w:tbl>
      <w:tblPr>
        <w:tblStyle w:val="7"/>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2"/>
        <w:gridCol w:w="80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82"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099" w:type="dxa"/>
          </w:tcPr>
          <w:p/>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2016年1月获得“2015-2016学年度</w:t>
            </w:r>
            <w:r>
              <w:rPr>
                <w:rFonts w:hint="eastAsia" w:ascii="仿宋_GB2312" w:eastAsia="仿宋_GB2312"/>
                <w:szCs w:val="21"/>
              </w:rPr>
              <w:t>顶岗支教优秀带队指导教师</w:t>
            </w:r>
            <w:r>
              <w:rPr>
                <w:rFonts w:hint="eastAsia" w:ascii="仿宋_GB2312" w:eastAsia="仿宋_GB2312"/>
                <w:szCs w:val="21"/>
                <w:lang w:val="en-US" w:eastAsia="zh-CN"/>
              </w:rPr>
              <w:t>”，发证单位：海南师范大学</w:t>
            </w: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5" w:hRule="atLeast"/>
        </w:trPr>
        <w:tc>
          <w:tcPr>
            <w:tcW w:w="1682"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099" w:type="dxa"/>
          </w:tcPr>
          <w:p>
            <w:pPr>
              <w:spacing w:line="300" w:lineRule="exact"/>
              <w:jc w:val="left"/>
              <w:rPr>
                <w:rFonts w:hint="eastAsia" w:ascii="仿宋_GB2312" w:eastAsia="仿宋_GB2312"/>
                <w:szCs w:val="21"/>
                <w:lang w:val="en-US" w:eastAsia="zh-CN"/>
              </w:rPr>
            </w:pPr>
          </w:p>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2017年2月获得“2015-2016学年度优秀班主任”，发证单位：海南师范大学</w:t>
            </w:r>
          </w:p>
          <w:p>
            <w:pPr>
              <w:spacing w:line="300" w:lineRule="exact"/>
              <w:jc w:val="left"/>
              <w:rPr>
                <w:rFonts w:hint="eastAsia" w:ascii="仿宋_GB2312" w:eastAsia="仿宋_GB2312"/>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82" w:type="dxa"/>
            <w:vAlign w:val="center"/>
          </w:tcPr>
          <w:p>
            <w:pPr>
              <w:spacing w:line="300" w:lineRule="exact"/>
              <w:jc w:val="center"/>
              <w:rPr>
                <w:rFonts w:ascii="仿宋_GB2312" w:eastAsia="仿宋_GB2312"/>
                <w:b/>
                <w:szCs w:val="21"/>
              </w:rP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099" w:type="dxa"/>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2012、2013、2014级思政专业本科生毕业论文指导老师（2012级指导15人；2013级指导10人，2014级指导10人）；而且自2015年入职海南师范大学以来一直担任马克思主义学院（政法学院）本科生论文负责人，负责毕业论文导师遴选、答辩分组、汇总登录成绩等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82" w:type="dxa"/>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099" w:type="dxa"/>
          </w:tcPr>
          <w:p>
            <w:pPr>
              <w:spacing w:line="300" w:lineRule="exact"/>
              <w:jc w:val="left"/>
              <w:rPr>
                <w:rFonts w:hint="eastAsia" w:ascii="仿宋_GB2312" w:eastAsia="仿宋_GB2312"/>
                <w:szCs w:val="21"/>
                <w:lang w:val="en-US" w:eastAsia="zh-CN"/>
              </w:rPr>
            </w:pPr>
          </w:p>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 xml:space="preserve">2016年4月获得“2016年度海南省高校思想政治理论课青年教师教学基本功比赛三等”，举办地点三亚，发证单位：海南省教育厅 </w:t>
            </w:r>
          </w:p>
          <w:p>
            <w:pPr>
              <w:spacing w:line="300" w:lineRule="exact"/>
              <w:jc w:val="left"/>
              <w:rPr>
                <w:rFonts w:hint="eastAsia" w:ascii="仿宋_GB2312" w:eastAsia="仿宋_GB2312"/>
                <w:szCs w:val="21"/>
                <w:lang w:val="en-US" w:eastAsia="zh-CN"/>
              </w:rPr>
            </w:p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626"/>
        <w:gridCol w:w="1213"/>
        <w:gridCol w:w="1175"/>
        <w:gridCol w:w="1012"/>
        <w:gridCol w:w="1200"/>
        <w:gridCol w:w="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fldChar w:fldCharType="begin"/>
            </w:r>
            <w:r>
              <w:rPr>
                <w:rFonts w:hint="eastAsia" w:ascii="仿宋_GB2312" w:eastAsia="仿宋_GB2312"/>
                <w:szCs w:val="21"/>
                <w:lang w:val="en-US" w:eastAsia="zh-CN"/>
              </w:rPr>
              <w:instrText xml:space="preserve"> = 1 \* GB3 </w:instrText>
            </w:r>
            <w:r>
              <w:rPr>
                <w:rFonts w:hint="eastAsia" w:ascii="仿宋_GB2312" w:eastAsia="仿宋_GB2312"/>
                <w:szCs w:val="21"/>
                <w:lang w:val="en-US" w:eastAsia="zh-CN"/>
              </w:rPr>
              <w:fldChar w:fldCharType="separate"/>
            </w:r>
            <w:r>
              <w:rPr>
                <w:rFonts w:hint="eastAsia" w:ascii="仿宋_GB2312" w:eastAsia="仿宋_GB2312"/>
                <w:szCs w:val="21"/>
                <w:lang w:val="en-US" w:eastAsia="zh-CN"/>
              </w:rPr>
              <w:t>①</w:t>
            </w:r>
            <w:r>
              <w:rPr>
                <w:rFonts w:hint="eastAsia" w:ascii="仿宋_GB2312" w:eastAsia="仿宋_GB2312"/>
                <w:szCs w:val="21"/>
                <w:lang w:val="en-US" w:eastAsia="zh-CN"/>
              </w:rPr>
              <w:fldChar w:fldCharType="end"/>
            </w:r>
            <w:r>
              <w:rPr>
                <w:rFonts w:hint="eastAsia" w:ascii="仿宋_GB2312" w:eastAsia="仿宋_GB2312"/>
                <w:szCs w:val="21"/>
                <w:lang w:val="en-US" w:eastAsia="zh-CN"/>
              </w:rPr>
              <w:t>主持国家社科基金项目1项</w:t>
            </w:r>
          </w:p>
          <w:p>
            <w:pPr>
              <w:spacing w:line="300" w:lineRule="exact"/>
              <w:jc w:val="left"/>
              <w:rPr>
                <w:rFonts w:hint="eastAsia" w:ascii="仿宋_GB2312" w:hAnsi="宋体" w:cs="Arial" w:eastAsiaTheme="minorEastAsia"/>
                <w:color w:val="000000"/>
                <w:kern w:val="0"/>
                <w:szCs w:val="21"/>
                <w:lang w:eastAsia="zh-CN"/>
              </w:rPr>
            </w:pPr>
            <w:r>
              <w:rPr>
                <w:rFonts w:hint="eastAsia" w:ascii="仿宋_GB2312" w:eastAsia="仿宋_GB2312"/>
                <w:szCs w:val="21"/>
                <w:lang w:val="en-US" w:eastAsia="zh-CN"/>
              </w:rPr>
              <w:fldChar w:fldCharType="begin"/>
            </w:r>
            <w:r>
              <w:rPr>
                <w:rFonts w:hint="eastAsia" w:ascii="仿宋_GB2312" w:eastAsia="仿宋_GB2312"/>
                <w:szCs w:val="21"/>
                <w:lang w:val="en-US" w:eastAsia="zh-CN"/>
              </w:rPr>
              <w:instrText xml:space="preserve"> = 2 \* GB3 </w:instrText>
            </w:r>
            <w:r>
              <w:rPr>
                <w:rFonts w:hint="eastAsia" w:ascii="仿宋_GB2312" w:eastAsia="仿宋_GB2312"/>
                <w:szCs w:val="21"/>
                <w:lang w:val="en-US" w:eastAsia="zh-CN"/>
              </w:rPr>
              <w:fldChar w:fldCharType="separate"/>
            </w:r>
            <w:r>
              <w:rPr>
                <w:rFonts w:hint="eastAsia" w:ascii="仿宋_GB2312" w:eastAsia="仿宋_GB2312"/>
                <w:szCs w:val="21"/>
                <w:lang w:val="en-US" w:eastAsia="zh-CN"/>
              </w:rPr>
              <w:t>②</w:t>
            </w:r>
            <w:r>
              <w:rPr>
                <w:rFonts w:hint="eastAsia" w:ascii="仿宋_GB2312" w:eastAsia="仿宋_GB2312"/>
                <w:szCs w:val="21"/>
                <w:lang w:val="en-US" w:eastAsia="zh-CN"/>
              </w:rPr>
              <w:fldChar w:fldCharType="end"/>
            </w:r>
            <w:r>
              <w:rPr>
                <w:rFonts w:hint="eastAsia" w:ascii="仿宋_GB2312" w:eastAsia="仿宋_GB2312"/>
                <w:szCs w:val="21"/>
                <w:lang w:val="en-US" w:eastAsia="zh-CN"/>
              </w:rPr>
              <w:t>论文6篇，包括：1、南大核心论文（cssci）4篇， 4篇独著；其中期刊论文 3篇，辑刊论文1 篇。2、非核心期刊论文2篇，独著。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0" w:hRule="atLeast"/>
        </w:trPr>
        <w:tc>
          <w:tcPr>
            <w:tcW w:w="1910" w:type="dxa"/>
            <w:gridSpan w:val="2"/>
            <w:vMerge w:val="continue"/>
          </w:tcPr>
          <w:p>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fldChar w:fldCharType="begin"/>
            </w:r>
            <w:r>
              <w:rPr>
                <w:rFonts w:hint="eastAsia" w:ascii="仿宋_GB2312" w:eastAsia="仿宋_GB2312"/>
                <w:szCs w:val="21"/>
                <w:lang w:val="en-US" w:eastAsia="zh-CN"/>
              </w:rPr>
              <w:instrText xml:space="preserve"> = 1 \* GB3 </w:instrText>
            </w:r>
            <w:r>
              <w:rPr>
                <w:rFonts w:hint="eastAsia" w:ascii="仿宋_GB2312" w:eastAsia="仿宋_GB2312"/>
                <w:szCs w:val="21"/>
                <w:lang w:val="en-US" w:eastAsia="zh-CN"/>
              </w:rPr>
              <w:fldChar w:fldCharType="separate"/>
            </w:r>
            <w:r>
              <w:rPr>
                <w:rFonts w:hint="eastAsia" w:ascii="仿宋_GB2312" w:eastAsia="仿宋_GB2312"/>
                <w:szCs w:val="21"/>
                <w:lang w:val="en-US" w:eastAsia="zh-CN"/>
              </w:rPr>
              <w:t>①</w:t>
            </w:r>
            <w:r>
              <w:rPr>
                <w:rFonts w:hint="eastAsia" w:ascii="仿宋_GB2312" w:eastAsia="仿宋_GB2312"/>
                <w:szCs w:val="21"/>
                <w:lang w:val="en-US" w:eastAsia="zh-CN"/>
              </w:rPr>
              <w:fldChar w:fldCharType="end"/>
            </w:r>
            <w:r>
              <w:rPr>
                <w:rFonts w:hint="eastAsia" w:ascii="仿宋_GB2312" w:eastAsia="仿宋_GB2312"/>
                <w:szCs w:val="21"/>
                <w:lang w:val="en-US" w:eastAsia="zh-CN"/>
              </w:rPr>
              <w:t>专著1部，独著，共22万字，个人撰写 22 万字。</w:t>
            </w:r>
          </w:p>
          <w:p>
            <w:pPr>
              <w:widowControl/>
              <w:jc w:val="left"/>
              <w:rPr>
                <w:rFonts w:ascii="宋体" w:hAnsi="宋体" w:cs="Arial"/>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trPr>
        <w:tc>
          <w:tcPr>
            <w:tcW w:w="1910" w:type="dxa"/>
            <w:gridSpan w:val="2"/>
            <w:vMerge w:val="continue"/>
          </w:tcPr>
          <w:p>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w:t>
            </w:r>
            <w:r>
              <w:rPr>
                <w:rFonts w:hint="eastAsia" w:ascii="宋体" w:hAnsi="宋体" w:cs="Arial"/>
                <w:color w:val="000000"/>
                <w:kern w:val="0"/>
                <w:szCs w:val="21"/>
                <w:lang w:eastAsia="zh-CN"/>
              </w:rPr>
              <w:t>：免（从</w:t>
            </w:r>
            <w:r>
              <w:rPr>
                <w:rFonts w:hint="eastAsia" w:ascii="宋体" w:hAnsi="宋体" w:cs="Arial"/>
                <w:color w:val="000000"/>
                <w:kern w:val="0"/>
                <w:szCs w:val="21"/>
                <w:lang w:val="en-US" w:eastAsia="zh-CN"/>
              </w:rPr>
              <w:t>2018年开始</w:t>
            </w:r>
            <w:r>
              <w:rPr>
                <w:rFonts w:hint="eastAsia" w:ascii="宋体" w:hAnsi="宋体" w:cs="Arial"/>
                <w:color w:val="000000"/>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3668" w:type="dxa"/>
            <w:gridSpan w:val="3"/>
            <w:vAlign w:val="center"/>
          </w:tcPr>
          <w:p>
            <w:pPr>
              <w:jc w:val="center"/>
            </w:pPr>
            <w:r>
              <w:rPr>
                <w:rFonts w:hint="eastAsia"/>
              </w:rPr>
              <w:t>项目名称</w:t>
            </w:r>
          </w:p>
        </w:tc>
        <w:tc>
          <w:tcPr>
            <w:tcW w:w="1213" w:type="dxa"/>
            <w:vAlign w:val="center"/>
          </w:tcPr>
          <w:p>
            <w:r>
              <w:rPr>
                <w:rFonts w:hint="eastAsia"/>
              </w:rPr>
              <w:t>批准号</w:t>
            </w:r>
          </w:p>
        </w:tc>
        <w:tc>
          <w:tcPr>
            <w:tcW w:w="1175" w:type="dxa"/>
            <w:vAlign w:val="center"/>
          </w:tcPr>
          <w:p>
            <w:pPr>
              <w:jc w:val="center"/>
            </w:pPr>
            <w:r>
              <w:rPr>
                <w:rFonts w:hint="eastAsia"/>
              </w:rPr>
              <w:t>项目来源</w:t>
            </w:r>
          </w:p>
        </w:tc>
        <w:tc>
          <w:tcPr>
            <w:tcW w:w="1012" w:type="dxa"/>
            <w:vAlign w:val="center"/>
          </w:tcPr>
          <w:p>
            <w:pPr>
              <w:rPr>
                <w:rFonts w:eastAsia="宋体"/>
              </w:rPr>
            </w:pPr>
            <w:r>
              <w:rPr>
                <w:rFonts w:hint="eastAsia"/>
              </w:rPr>
              <w:t>立项时间</w:t>
            </w:r>
          </w:p>
        </w:tc>
        <w:tc>
          <w:tcPr>
            <w:tcW w:w="1200" w:type="dxa"/>
            <w:vAlign w:val="center"/>
          </w:tcPr>
          <w:p>
            <w:pPr>
              <w:jc w:val="center"/>
              <w:rPr>
                <w:rFonts w:eastAsia="宋体"/>
              </w:rPr>
            </w:pPr>
            <w:r>
              <w:rPr>
                <w:rFonts w:hint="eastAsia"/>
              </w:rPr>
              <w:t>立项经费（万元）</w:t>
            </w:r>
          </w:p>
        </w:tc>
        <w:tc>
          <w:tcPr>
            <w:tcW w:w="937" w:type="dxa"/>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spacing w:line="300" w:lineRule="exact"/>
              <w:jc w:val="left"/>
              <w:rPr>
                <w:rFonts w:hint="eastAsia" w:ascii="仿宋_GB2312" w:eastAsia="仿宋_GB2312"/>
                <w:szCs w:val="21"/>
                <w:lang w:val="en-US" w:eastAsia="zh-CN"/>
              </w:rPr>
            </w:pPr>
            <w:r>
              <w:rPr>
                <w:rFonts w:hint="eastAsia" w:ascii="仿宋_GB2312" w:eastAsia="仿宋_GB2312"/>
                <w:szCs w:val="21"/>
                <w:lang w:val="en-US" w:eastAsia="zh-CN"/>
              </w:rPr>
              <w:t>1、</w:t>
            </w:r>
          </w:p>
          <w:p>
            <w:pPr>
              <w:spacing w:line="300" w:lineRule="exact"/>
              <w:jc w:val="left"/>
              <w:rPr>
                <w:rFonts w:hint="eastAsia" w:ascii="仿宋_GB2312" w:eastAsia="仿宋_GB2312"/>
                <w:szCs w:val="21"/>
                <w:lang w:val="en-US" w:eastAsia="zh-CN"/>
              </w:rPr>
            </w:pPr>
          </w:p>
        </w:tc>
        <w:tc>
          <w:tcPr>
            <w:tcW w:w="3668" w:type="dxa"/>
            <w:gridSpan w:val="3"/>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亨利与柏格森的生命现象学思想比较研究</w:t>
            </w:r>
          </w:p>
        </w:tc>
        <w:tc>
          <w:tcPr>
            <w:tcW w:w="1213"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17XZX005</w:t>
            </w:r>
          </w:p>
        </w:tc>
        <w:tc>
          <w:tcPr>
            <w:tcW w:w="1175"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国家社科</w:t>
            </w:r>
          </w:p>
        </w:tc>
        <w:tc>
          <w:tcPr>
            <w:tcW w:w="1012"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2017.06</w:t>
            </w:r>
          </w:p>
        </w:tc>
        <w:tc>
          <w:tcPr>
            <w:tcW w:w="1200"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20</w:t>
            </w:r>
          </w:p>
        </w:tc>
        <w:tc>
          <w:tcPr>
            <w:tcW w:w="937"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widowControl/>
              <w:jc w:val="left"/>
              <w:rPr>
                <w:rFonts w:hint="eastAsia" w:ascii="仿宋_GB2312" w:eastAsia="仿宋_GB2312"/>
                <w:szCs w:val="21"/>
                <w:lang w:val="en-US" w:eastAsia="zh-CN"/>
              </w:rPr>
            </w:pPr>
          </w:p>
        </w:tc>
        <w:tc>
          <w:tcPr>
            <w:tcW w:w="3668" w:type="dxa"/>
            <w:gridSpan w:val="3"/>
            <w:vAlign w:val="center"/>
          </w:tcPr>
          <w:p>
            <w:pPr>
              <w:widowControl/>
              <w:jc w:val="left"/>
              <w:rPr>
                <w:rFonts w:hint="eastAsia" w:ascii="仿宋_GB2312" w:eastAsia="仿宋_GB2312"/>
                <w:szCs w:val="21"/>
                <w:lang w:val="en-US" w:eastAsia="zh-CN"/>
              </w:rPr>
            </w:pPr>
          </w:p>
        </w:tc>
        <w:tc>
          <w:tcPr>
            <w:tcW w:w="1213" w:type="dxa"/>
            <w:vAlign w:val="center"/>
          </w:tcPr>
          <w:p>
            <w:pPr>
              <w:widowControl/>
              <w:jc w:val="left"/>
              <w:rPr>
                <w:rFonts w:hint="eastAsia" w:ascii="仿宋_GB2312" w:eastAsia="仿宋_GB2312"/>
                <w:szCs w:val="21"/>
                <w:lang w:val="en-US" w:eastAsia="zh-CN"/>
              </w:rPr>
            </w:pPr>
          </w:p>
        </w:tc>
        <w:tc>
          <w:tcPr>
            <w:tcW w:w="1175" w:type="dxa"/>
            <w:vAlign w:val="center"/>
          </w:tcPr>
          <w:p>
            <w:pPr>
              <w:widowControl/>
              <w:jc w:val="left"/>
              <w:rPr>
                <w:rFonts w:hint="eastAsia" w:ascii="仿宋_GB2312" w:eastAsia="仿宋_GB2312"/>
                <w:szCs w:val="21"/>
                <w:lang w:val="en-US" w:eastAsia="zh-CN"/>
              </w:rPr>
            </w:pPr>
          </w:p>
        </w:tc>
        <w:tc>
          <w:tcPr>
            <w:tcW w:w="1012" w:type="dxa"/>
            <w:vAlign w:val="center"/>
          </w:tcPr>
          <w:p>
            <w:pPr>
              <w:widowControl/>
              <w:jc w:val="left"/>
              <w:rPr>
                <w:rFonts w:hint="eastAsia" w:ascii="仿宋_GB2312" w:eastAsia="仿宋_GB2312"/>
                <w:szCs w:val="21"/>
                <w:lang w:val="en-US" w:eastAsia="zh-CN"/>
              </w:rPr>
            </w:pPr>
          </w:p>
        </w:tc>
        <w:tc>
          <w:tcPr>
            <w:tcW w:w="1200" w:type="dxa"/>
            <w:vAlign w:val="center"/>
          </w:tcPr>
          <w:p>
            <w:pPr>
              <w:widowControl/>
              <w:jc w:val="left"/>
              <w:rPr>
                <w:rFonts w:hint="eastAsia" w:ascii="仿宋_GB2312" w:eastAsia="仿宋_GB2312"/>
                <w:szCs w:val="21"/>
                <w:lang w:val="en-US" w:eastAsia="zh-CN"/>
              </w:rPr>
            </w:pPr>
          </w:p>
        </w:tc>
        <w:tc>
          <w:tcPr>
            <w:tcW w:w="937" w:type="dxa"/>
            <w:vAlign w:val="center"/>
          </w:tcPr>
          <w:p>
            <w:pPr>
              <w:widowControl/>
              <w:jc w:val="left"/>
              <w:rPr>
                <w:rFonts w:hint="eastAsia" w:ascii="仿宋_GB2312" w:eastAsia="仿宋_GB2312"/>
                <w:szCs w:val="21"/>
                <w:lang w:val="en-US" w:eastAsia="zh-CN"/>
              </w:rPr>
            </w:pPr>
          </w:p>
          <w:p>
            <w:pPr>
              <w:widowControl/>
              <w:jc w:val="left"/>
              <w:rPr>
                <w:rFonts w:hint="eastAsia" w:ascii="仿宋_GB2312" w:eastAsia="仿宋_GB2312"/>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tc>
        <w:tc>
          <w:tcPr>
            <w:tcW w:w="3668" w:type="dxa"/>
            <w:gridSpan w:val="3"/>
            <w:vAlign w:val="center"/>
          </w:tcPr>
          <w:p/>
        </w:tc>
        <w:tc>
          <w:tcPr>
            <w:tcW w:w="1213" w:type="dxa"/>
            <w:vAlign w:val="center"/>
          </w:tcPr>
          <w:p/>
        </w:tc>
        <w:tc>
          <w:tcPr>
            <w:tcW w:w="1175" w:type="dxa"/>
            <w:vAlign w:val="center"/>
          </w:tcPr>
          <w:p/>
        </w:tc>
        <w:tc>
          <w:tcPr>
            <w:tcW w:w="1012" w:type="dxa"/>
            <w:vAlign w:val="center"/>
          </w:tcPr>
          <w:p/>
        </w:tc>
        <w:tc>
          <w:tcPr>
            <w:tcW w:w="1200" w:type="dxa"/>
            <w:vAlign w:val="center"/>
          </w:tcPr>
          <w:p/>
        </w:tc>
        <w:tc>
          <w:tcPr>
            <w:tcW w:w="937" w:type="dxa"/>
            <w:vAlign w:val="center"/>
          </w:tcP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
        </w:tc>
        <w:tc>
          <w:tcPr>
            <w:tcW w:w="3668" w:type="dxa"/>
            <w:gridSpan w:val="3"/>
            <w:vAlign w:val="center"/>
          </w:tcPr>
          <w:p/>
        </w:tc>
        <w:tc>
          <w:tcPr>
            <w:tcW w:w="1213" w:type="dxa"/>
            <w:vAlign w:val="center"/>
          </w:tcPr>
          <w:p/>
        </w:tc>
        <w:tc>
          <w:tcPr>
            <w:tcW w:w="1175" w:type="dxa"/>
            <w:vAlign w:val="center"/>
          </w:tcPr>
          <w:p/>
        </w:tc>
        <w:tc>
          <w:tcPr>
            <w:tcW w:w="1012" w:type="dxa"/>
            <w:vAlign w:val="center"/>
          </w:tcPr>
          <w:p/>
        </w:tc>
        <w:tc>
          <w:tcPr>
            <w:tcW w:w="1200" w:type="dxa"/>
            <w:vAlign w:val="center"/>
          </w:tcPr>
          <w:p/>
        </w:tc>
        <w:tc>
          <w:tcPr>
            <w:tcW w:w="937"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rPr>
        <w:tc>
          <w:tcPr>
            <w:tcW w:w="576" w:type="dxa"/>
            <w:vAlign w:val="center"/>
          </w:tcPr>
          <w:p/>
          <w:p/>
        </w:tc>
        <w:tc>
          <w:tcPr>
            <w:tcW w:w="3668" w:type="dxa"/>
            <w:gridSpan w:val="3"/>
            <w:vAlign w:val="center"/>
          </w:tcPr>
          <w:p/>
        </w:tc>
        <w:tc>
          <w:tcPr>
            <w:tcW w:w="1213" w:type="dxa"/>
            <w:vAlign w:val="center"/>
          </w:tcPr>
          <w:p/>
        </w:tc>
        <w:tc>
          <w:tcPr>
            <w:tcW w:w="1175" w:type="dxa"/>
            <w:vAlign w:val="center"/>
          </w:tcPr>
          <w:p/>
        </w:tc>
        <w:tc>
          <w:tcPr>
            <w:tcW w:w="1012" w:type="dxa"/>
            <w:vAlign w:val="center"/>
          </w:tcPr>
          <w:p/>
        </w:tc>
        <w:tc>
          <w:tcPr>
            <w:tcW w:w="1200" w:type="dxa"/>
            <w:vAlign w:val="center"/>
          </w:tcPr>
          <w:p/>
        </w:tc>
        <w:tc>
          <w:tcPr>
            <w:tcW w:w="937" w:type="dxa"/>
            <w:vAlign w:val="center"/>
          </w:tc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836"/>
        <w:gridCol w:w="723"/>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以第一作者（或通信作者）发表论文总数：</w:t>
            </w:r>
            <w:r>
              <w:rPr>
                <w:rFonts w:hint="eastAsia" w:ascii="仿宋_GB2312" w:eastAsia="仿宋_GB2312"/>
                <w:szCs w:val="21"/>
                <w:lang w:val="en-US" w:eastAsia="zh-CN"/>
              </w:rPr>
              <w:t>6</w:t>
            </w:r>
            <w:r>
              <w:rPr>
                <w:rFonts w:hint="eastAsia" w:ascii="仿宋_GB2312" w:eastAsia="仿宋_GB2312"/>
                <w:szCs w:val="21"/>
              </w:rPr>
              <w:t>篇，其中：A类</w:t>
            </w:r>
            <w:r>
              <w:rPr>
                <w:rFonts w:hint="eastAsia" w:ascii="仿宋_GB2312" w:eastAsia="仿宋_GB2312"/>
                <w:szCs w:val="21"/>
                <w:lang w:val="en-US" w:eastAsia="zh-CN"/>
              </w:rPr>
              <w:t>0</w:t>
            </w:r>
            <w:r>
              <w:rPr>
                <w:rFonts w:hint="eastAsia" w:ascii="仿宋_GB2312" w:eastAsia="仿宋_GB2312"/>
                <w:szCs w:val="21"/>
              </w:rPr>
              <w:t>篇，B类</w:t>
            </w:r>
            <w:r>
              <w:rPr>
                <w:rFonts w:hint="eastAsia" w:ascii="仿宋_GB2312" w:eastAsia="仿宋_GB2312"/>
                <w:szCs w:val="21"/>
                <w:lang w:val="en-US" w:eastAsia="zh-CN"/>
              </w:rPr>
              <w:t>4</w:t>
            </w:r>
            <w:r>
              <w:rPr>
                <w:rFonts w:hint="eastAsia" w:ascii="仿宋_GB2312" w:eastAsia="仿宋_GB2312"/>
                <w:szCs w:val="21"/>
              </w:rPr>
              <w:t>篇，C类</w:t>
            </w:r>
            <w:r>
              <w:rPr>
                <w:rFonts w:hint="eastAsia" w:ascii="仿宋_GB2312" w:eastAsia="仿宋_GB2312"/>
                <w:szCs w:val="21"/>
                <w:lang w:val="en-US" w:eastAsia="zh-CN"/>
              </w:rPr>
              <w:t>0</w:t>
            </w:r>
            <w:r>
              <w:rPr>
                <w:rFonts w:hint="eastAsia" w:ascii="仿宋_GB2312" w:eastAsia="仿宋_GB2312"/>
                <w:szCs w:val="21"/>
              </w:rPr>
              <w:t>篇，D类</w:t>
            </w:r>
            <w:r>
              <w:rPr>
                <w:rFonts w:hint="eastAsia" w:ascii="仿宋_GB2312" w:eastAsia="仿宋_GB2312"/>
                <w:szCs w:val="21"/>
                <w:lang w:val="en-US" w:eastAsia="zh-CN"/>
              </w:rPr>
              <w:t>2</w:t>
            </w:r>
            <w:r>
              <w:rPr>
                <w:rFonts w:hint="eastAsia" w:ascii="仿宋_GB2312" w:eastAsia="仿宋_GB2312"/>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171"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836" w:type="dxa"/>
            <w:vAlign w:val="center"/>
          </w:tcPr>
          <w:p>
            <w:pPr>
              <w:widowControl/>
              <w:jc w:val="center"/>
            </w:pPr>
            <w:r>
              <w:rPr>
                <w:rFonts w:hint="eastAsia" w:ascii="宋体" w:hAnsi="宋体" w:cs="Arial"/>
                <w:color w:val="000000"/>
                <w:kern w:val="0"/>
                <w:szCs w:val="21"/>
              </w:rPr>
              <w:t>刊物级别</w:t>
            </w:r>
          </w:p>
        </w:tc>
        <w:tc>
          <w:tcPr>
            <w:tcW w:w="723" w:type="dxa"/>
            <w:vAlign w:val="center"/>
          </w:tcPr>
          <w:p>
            <w:pPr>
              <w:widowControl/>
              <w:jc w:val="center"/>
            </w:pPr>
            <w:r>
              <w:rPr>
                <w:rFonts w:hint="eastAsia"/>
              </w:rPr>
              <w:t>转载</w:t>
            </w:r>
          </w:p>
          <w:p>
            <w:pPr>
              <w:widowControl/>
              <w:jc w:val="center"/>
              <w:rPr>
                <w:rFonts w:eastAsia="宋体"/>
              </w:rPr>
            </w:pPr>
            <w:r>
              <w:rPr>
                <w:rFonts w:hint="eastAsia"/>
              </w:rPr>
              <w:t>情况</w:t>
            </w:r>
          </w:p>
        </w:tc>
        <w:tc>
          <w:tcPr>
            <w:tcW w:w="1276"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1</w:t>
            </w:r>
          </w:p>
        </w:tc>
        <w:tc>
          <w:tcPr>
            <w:tcW w:w="3171" w:type="dxa"/>
            <w:tcBorders>
              <w:lef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论亨利现象学与“神学的转向”的问题</w:t>
            </w:r>
          </w:p>
        </w:tc>
        <w:tc>
          <w:tcPr>
            <w:tcW w:w="3260"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《社会科学 》2015年第7期</w:t>
            </w:r>
          </w:p>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ISSN 0257—5833</w:t>
            </w:r>
          </w:p>
        </w:tc>
        <w:tc>
          <w:tcPr>
            <w:tcW w:w="836"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CSSCI</w:t>
            </w:r>
          </w:p>
        </w:tc>
        <w:tc>
          <w:tcPr>
            <w:tcW w:w="723" w:type="dxa"/>
          </w:tcPr>
          <w:p>
            <w:pPr>
              <w:widowControl/>
              <w:jc w:val="left"/>
              <w:rPr>
                <w:rFonts w:hint="eastAsia" w:ascii="仿宋_GB2312" w:eastAsia="仿宋_GB2312"/>
                <w:szCs w:val="21"/>
                <w:lang w:val="en-US" w:eastAsia="zh-CN"/>
              </w:rPr>
            </w:pPr>
          </w:p>
        </w:tc>
        <w:tc>
          <w:tcPr>
            <w:tcW w:w="1276" w:type="dxa"/>
            <w:tcBorders>
              <w:righ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2</w:t>
            </w:r>
          </w:p>
        </w:tc>
        <w:tc>
          <w:tcPr>
            <w:tcW w:w="3171" w:type="dxa"/>
            <w:tcBorders>
              <w:lef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自我·他者与生命-米歇尔·亨利对胡塞尔交互主体性的反思与批判</w:t>
            </w:r>
          </w:p>
        </w:tc>
        <w:tc>
          <w:tcPr>
            <w:tcW w:w="3260"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《现代哲学》2016年的1期</w:t>
            </w:r>
          </w:p>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ISSN1000-7660</w:t>
            </w:r>
          </w:p>
        </w:tc>
        <w:tc>
          <w:tcPr>
            <w:tcW w:w="836"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CSSCI</w:t>
            </w:r>
          </w:p>
        </w:tc>
        <w:tc>
          <w:tcPr>
            <w:tcW w:w="723" w:type="dxa"/>
          </w:tcPr>
          <w:p>
            <w:pPr>
              <w:widowControl/>
              <w:jc w:val="left"/>
              <w:rPr>
                <w:rFonts w:hint="eastAsia" w:ascii="仿宋_GB2312" w:eastAsia="仿宋_GB2312"/>
                <w:szCs w:val="21"/>
                <w:lang w:val="en-US" w:eastAsia="zh-CN"/>
              </w:rPr>
            </w:pPr>
          </w:p>
        </w:tc>
        <w:tc>
          <w:tcPr>
            <w:tcW w:w="1276" w:type="dxa"/>
            <w:tcBorders>
              <w:righ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 xml:space="preserve">3 </w:t>
            </w:r>
          </w:p>
        </w:tc>
        <w:tc>
          <w:tcPr>
            <w:tcW w:w="3171" w:type="dxa"/>
            <w:tcBorders>
              <w:lef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亨利对《笛卡尔式沉思》中移情难题的分析批评及其基于生命现象学的解决方案</w:t>
            </w:r>
          </w:p>
        </w:tc>
        <w:tc>
          <w:tcPr>
            <w:tcW w:w="3260"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《哲学门》2016年3月第31辑ISBN978-7-301-26683-0</w:t>
            </w:r>
          </w:p>
        </w:tc>
        <w:tc>
          <w:tcPr>
            <w:tcW w:w="836"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CSSCI</w:t>
            </w:r>
          </w:p>
        </w:tc>
        <w:tc>
          <w:tcPr>
            <w:tcW w:w="723" w:type="dxa"/>
          </w:tcPr>
          <w:p>
            <w:pPr>
              <w:widowControl/>
              <w:jc w:val="left"/>
              <w:rPr>
                <w:rFonts w:hint="eastAsia" w:ascii="仿宋_GB2312" w:eastAsia="仿宋_GB2312"/>
                <w:szCs w:val="21"/>
                <w:lang w:val="en-US" w:eastAsia="zh-CN"/>
              </w:rPr>
            </w:pPr>
          </w:p>
        </w:tc>
        <w:tc>
          <w:tcPr>
            <w:tcW w:w="1276" w:type="dxa"/>
            <w:tcBorders>
              <w:righ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4</w:t>
            </w:r>
          </w:p>
        </w:tc>
        <w:tc>
          <w:tcPr>
            <w:tcW w:w="3171" w:type="dxa"/>
            <w:tcBorders>
              <w:lef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 xml:space="preserve"> 现象学究竟是不是一种方法？-                     亨利对现象学的反思与批判及其对现象学的逆转</w:t>
            </w:r>
          </w:p>
        </w:tc>
        <w:tc>
          <w:tcPr>
            <w:tcW w:w="3260"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《江汉论坛》 2017年第6期</w:t>
            </w:r>
          </w:p>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ISSN1003-854X</w:t>
            </w:r>
          </w:p>
        </w:tc>
        <w:tc>
          <w:tcPr>
            <w:tcW w:w="836"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CSSCI</w:t>
            </w:r>
          </w:p>
        </w:tc>
        <w:tc>
          <w:tcPr>
            <w:tcW w:w="723" w:type="dxa"/>
          </w:tcPr>
          <w:p>
            <w:pPr>
              <w:widowControl/>
              <w:jc w:val="left"/>
              <w:rPr>
                <w:rFonts w:hint="eastAsia" w:ascii="仿宋_GB2312" w:eastAsia="仿宋_GB2312"/>
                <w:szCs w:val="21"/>
                <w:lang w:val="en-US" w:eastAsia="zh-CN"/>
              </w:rPr>
            </w:pPr>
          </w:p>
        </w:tc>
        <w:tc>
          <w:tcPr>
            <w:tcW w:w="1276" w:type="dxa"/>
            <w:tcBorders>
              <w:righ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5</w:t>
            </w:r>
          </w:p>
        </w:tc>
        <w:tc>
          <w:tcPr>
            <w:tcW w:w="3171" w:type="dxa"/>
            <w:tcBorders>
              <w:lef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 xml:space="preserve"> 亨利现象学的“逆向还原”与生命的情感体验</w:t>
            </w:r>
          </w:p>
        </w:tc>
        <w:tc>
          <w:tcPr>
            <w:tcW w:w="3260"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《武陵学刊》 2017年第2期</w:t>
            </w:r>
          </w:p>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ISSN1674-9014</w:t>
            </w:r>
          </w:p>
        </w:tc>
        <w:tc>
          <w:tcPr>
            <w:tcW w:w="836"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 xml:space="preserve">非核心 </w:t>
            </w:r>
          </w:p>
        </w:tc>
        <w:tc>
          <w:tcPr>
            <w:tcW w:w="723" w:type="dxa"/>
          </w:tcPr>
          <w:p>
            <w:pPr>
              <w:widowControl/>
              <w:jc w:val="left"/>
              <w:rPr>
                <w:rFonts w:hint="eastAsia" w:ascii="仿宋_GB2312" w:eastAsia="仿宋_GB2312"/>
                <w:szCs w:val="21"/>
                <w:lang w:val="en-US" w:eastAsia="zh-CN"/>
              </w:rPr>
            </w:pPr>
          </w:p>
        </w:tc>
        <w:tc>
          <w:tcPr>
            <w:tcW w:w="1276" w:type="dxa"/>
            <w:tcBorders>
              <w:righ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6</w:t>
            </w:r>
          </w:p>
        </w:tc>
        <w:tc>
          <w:tcPr>
            <w:tcW w:w="3171" w:type="dxa"/>
            <w:tcBorders>
              <w:lef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亨利与现象学的彻底化</w:t>
            </w:r>
          </w:p>
        </w:tc>
        <w:tc>
          <w:tcPr>
            <w:tcW w:w="3260"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《东方论坛》 2017年第2期</w:t>
            </w:r>
          </w:p>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ISSN1005-7110</w:t>
            </w:r>
          </w:p>
        </w:tc>
        <w:tc>
          <w:tcPr>
            <w:tcW w:w="836"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非核心</w:t>
            </w:r>
          </w:p>
        </w:tc>
        <w:tc>
          <w:tcPr>
            <w:tcW w:w="723" w:type="dxa"/>
          </w:tcPr>
          <w:p>
            <w:pPr>
              <w:widowControl/>
              <w:jc w:val="left"/>
              <w:rPr>
                <w:rFonts w:hint="eastAsia" w:ascii="仿宋_GB2312" w:eastAsia="仿宋_GB2312"/>
                <w:szCs w:val="21"/>
                <w:lang w:val="en-US" w:eastAsia="zh-CN"/>
              </w:rPr>
            </w:pPr>
          </w:p>
        </w:tc>
        <w:tc>
          <w:tcPr>
            <w:tcW w:w="1276" w:type="dxa"/>
            <w:tcBorders>
              <w:righ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有</w:t>
            </w:r>
          </w:p>
        </w:tc>
      </w:tr>
    </w:tbl>
    <w:p/>
    <w:tbl>
      <w:tblPr>
        <w:tblStyle w:val="7"/>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1156"/>
        <w:gridCol w:w="829"/>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pPr>
              <w:rPr>
                <w:rFonts w:eastAsia="宋体"/>
              </w:rPr>
            </w:pPr>
            <w:r>
              <w:rPr>
                <w:rFonts w:hint="eastAsia"/>
              </w:rPr>
              <w:t>类别</w:t>
            </w:r>
          </w:p>
        </w:tc>
        <w:tc>
          <w:tcPr>
            <w:tcW w:w="1058" w:type="dxa"/>
            <w:vAlign w:val="center"/>
          </w:tcPr>
          <w:p>
            <w:r>
              <w:rPr>
                <w:rFonts w:hint="eastAsia"/>
              </w:rPr>
              <w:t>合（独）著译及排名</w:t>
            </w:r>
          </w:p>
        </w:tc>
        <w:tc>
          <w:tcPr>
            <w:tcW w:w="1276" w:type="dxa"/>
            <w:vAlign w:val="center"/>
          </w:tcPr>
          <w:p>
            <w:pPr>
              <w:rPr>
                <w:rFonts w:eastAsia="宋体"/>
              </w:rPr>
            </w:pPr>
            <w:r>
              <w:rPr>
                <w:rFonts w:hint="eastAsia"/>
              </w:rPr>
              <w:t>出版社和出版时间</w:t>
            </w:r>
          </w:p>
        </w:tc>
        <w:tc>
          <w:tcPr>
            <w:tcW w:w="1156" w:type="dxa"/>
            <w:tcBorders>
              <w:right w:val="single" w:color="auto" w:sz="4" w:space="0"/>
            </w:tcBorders>
            <w:vAlign w:val="center"/>
          </w:tcPr>
          <w:p>
            <w:pPr>
              <w:rPr>
                <w:rFonts w:eastAsia="宋体"/>
              </w:rPr>
            </w:pPr>
            <w:r>
              <w:rPr>
                <w:rFonts w:hint="eastAsia"/>
              </w:rPr>
              <w:t>CIP核字号</w:t>
            </w:r>
          </w:p>
        </w:tc>
        <w:tc>
          <w:tcPr>
            <w:tcW w:w="829"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1</w:t>
            </w:r>
          </w:p>
        </w:tc>
        <w:tc>
          <w:tcPr>
            <w:tcW w:w="2277" w:type="dxa"/>
            <w:tcBorders>
              <w:lef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《亨利生命现象学研究》</w:t>
            </w:r>
          </w:p>
        </w:tc>
        <w:tc>
          <w:tcPr>
            <w:tcW w:w="655"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专著</w:t>
            </w:r>
          </w:p>
        </w:tc>
        <w:tc>
          <w:tcPr>
            <w:tcW w:w="1058"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独著</w:t>
            </w:r>
          </w:p>
        </w:tc>
        <w:tc>
          <w:tcPr>
            <w:tcW w:w="1276"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人民出版社，2016年7月，ISBN 978-7-01-016437-3</w:t>
            </w:r>
          </w:p>
        </w:tc>
        <w:tc>
          <w:tcPr>
            <w:tcW w:w="1156" w:type="dxa"/>
            <w:tcBorders>
              <w:righ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（2016）第152660号</w:t>
            </w:r>
          </w:p>
        </w:tc>
        <w:tc>
          <w:tcPr>
            <w:tcW w:w="829" w:type="dxa"/>
            <w:tcBorders>
              <w:left w:val="single" w:color="auto" w:sz="4" w:space="0"/>
            </w:tcBorders>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22</w:t>
            </w:r>
          </w:p>
        </w:tc>
        <w:tc>
          <w:tcPr>
            <w:tcW w:w="992"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22</w:t>
            </w:r>
          </w:p>
        </w:tc>
        <w:tc>
          <w:tcPr>
            <w:tcW w:w="850" w:type="dxa"/>
            <w:vAlign w:val="center"/>
          </w:tcPr>
          <w:p>
            <w:pPr>
              <w:widowControl/>
              <w:jc w:val="left"/>
              <w:rPr>
                <w:rFonts w:hint="eastAsia" w:ascii="仿宋_GB2312" w:eastAsia="仿宋_GB2312"/>
                <w:szCs w:val="21"/>
                <w:lang w:val="en-US" w:eastAsia="zh-CN"/>
              </w:rPr>
            </w:pPr>
            <w:r>
              <w:rPr>
                <w:rFonts w:hint="eastAsia" w:ascii="仿宋_GB2312" w:eastAsia="仿宋_GB2312"/>
                <w:szCs w:val="21"/>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jc w:val="center"/>
            </w:pPr>
          </w:p>
        </w:tc>
        <w:tc>
          <w:tcPr>
            <w:tcW w:w="2277" w:type="dxa"/>
            <w:tcBorders>
              <w:left w:val="single" w:color="auto" w:sz="4" w:space="0"/>
            </w:tcBorders>
            <w:vAlign w:val="center"/>
          </w:tcPr>
          <w:p>
            <w:pPr>
              <w:jc w:val="left"/>
            </w:pPr>
          </w:p>
        </w:tc>
        <w:tc>
          <w:tcPr>
            <w:tcW w:w="655" w:type="dxa"/>
            <w:vAlign w:val="center"/>
          </w:tcPr>
          <w:p/>
        </w:tc>
        <w:tc>
          <w:tcPr>
            <w:tcW w:w="1058" w:type="dxa"/>
            <w:vAlign w:val="center"/>
          </w:tcPr>
          <w:p/>
        </w:tc>
        <w:tc>
          <w:tcPr>
            <w:tcW w:w="1276" w:type="dxa"/>
            <w:vAlign w:val="center"/>
          </w:tcPr>
          <w:p/>
        </w:tc>
        <w:tc>
          <w:tcPr>
            <w:tcW w:w="1156" w:type="dxa"/>
            <w:tcBorders>
              <w:right w:val="single" w:color="auto" w:sz="4" w:space="0"/>
            </w:tcBorders>
            <w:vAlign w:val="center"/>
          </w:tcPr>
          <w:p/>
        </w:tc>
        <w:tc>
          <w:tcPr>
            <w:tcW w:w="829" w:type="dxa"/>
            <w:tcBorders>
              <w:left w:val="single" w:color="auto" w:sz="4" w:space="0"/>
            </w:tcBorders>
            <w:vAlign w:val="center"/>
          </w:tcPr>
          <w:p/>
        </w:tc>
        <w:tc>
          <w:tcPr>
            <w:tcW w:w="992" w:type="dxa"/>
            <w:vAlign w:val="center"/>
          </w:tcPr>
          <w:p/>
        </w:tc>
        <w:tc>
          <w:tcPr>
            <w:tcW w:w="850" w:type="dxa"/>
            <w:vAlign w:val="center"/>
          </w:tcPr>
          <w:p/>
        </w:tc>
      </w:tr>
    </w:tbl>
    <w:p/>
    <w:tbl>
      <w:tblPr>
        <w:tblStyle w:val="7"/>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trPr>
        <w:tc>
          <w:tcPr>
            <w:tcW w:w="675" w:type="dxa"/>
            <w:tcBorders>
              <w:right w:val="single" w:color="auto" w:sz="4" w:space="0"/>
            </w:tcBorders>
            <w:vAlign w:val="center"/>
          </w:tcPr>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p/>
    <w:p>
      <w:r>
        <w:rPr>
          <w:rFonts w:hint="eastAsia"/>
        </w:rPr>
        <w:t xml:space="preserve"> </w:t>
      </w: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任选条件之⑥ 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主题</w:t>
            </w:r>
          </w:p>
        </w:tc>
        <w:tc>
          <w:tcPr>
            <w:tcW w:w="2633" w:type="dxa"/>
            <w:vAlign w:val="center"/>
          </w:tcPr>
          <w:p>
            <w:pPr>
              <w:widowControl/>
              <w:jc w:val="center"/>
              <w:rPr>
                <w:rFonts w:eastAsia="宋体"/>
              </w:rP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7"/>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rPr>
                <w:rFonts w:eastAsia="宋体"/>
              </w:rPr>
            </w:pPr>
            <w:r>
              <w:rPr>
                <w:rFonts w:hint="eastAsia" w:ascii="宋体" w:hAnsi="宋体" w:cs="Arial"/>
                <w:b/>
                <w:bCs/>
                <w:color w:val="000000"/>
                <w:kern w:val="0"/>
                <w:szCs w:val="21"/>
              </w:rPr>
              <w:t>任选条件之</w:t>
            </w:r>
            <w:r>
              <w:rPr>
                <w:rFonts w:hint="eastAsia"/>
                <w:b/>
                <w:bCs/>
              </w:rPr>
              <w:t>⑦ 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276"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1134" w:type="dxa"/>
            <w:vAlign w:val="center"/>
          </w:tcPr>
          <w:p>
            <w:pPr>
              <w:jc w:val="center"/>
              <w:rPr>
                <w:rFonts w:eastAsia="宋体"/>
              </w:rPr>
            </w:pPr>
            <w:r>
              <w:rPr>
                <w:rFonts w:hint="eastAsia"/>
              </w:rPr>
              <w:t>授权时间</w:t>
            </w:r>
          </w:p>
        </w:tc>
        <w:tc>
          <w:tcPr>
            <w:tcW w:w="850" w:type="dxa"/>
            <w:vAlign w:val="center"/>
          </w:tcPr>
          <w:p>
            <w:pPr>
              <w:jc w:val="center"/>
              <w:rPr>
                <w:rFonts w:eastAsia="宋体"/>
              </w:rPr>
            </w:pPr>
            <w:r>
              <w:rPr>
                <w:rFonts w:hint="eastAsia"/>
              </w:rPr>
              <w:t>第几发明人</w:t>
            </w:r>
          </w:p>
        </w:tc>
        <w:tc>
          <w:tcPr>
            <w:tcW w:w="1134" w:type="dxa"/>
            <w:vAlign w:val="center"/>
          </w:tcPr>
          <w:p>
            <w:pPr>
              <w:jc w:val="center"/>
            </w:pPr>
            <w:r>
              <w:rPr>
                <w:rFonts w:hint="eastAsia"/>
              </w:rPr>
              <w:t>转让或实</w:t>
            </w:r>
          </w:p>
          <w:p>
            <w:pPr>
              <w:jc w:val="center"/>
            </w:pPr>
            <w:r>
              <w:rPr>
                <w:rFonts w:hint="eastAsia"/>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bl>
    <w:p/>
    <w:p/>
    <w:tbl>
      <w:tblPr>
        <w:tblStyle w:val="7"/>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67"/>
        <w:gridCol w:w="3170"/>
        <w:gridCol w:w="1323"/>
        <w:gridCol w:w="1133"/>
        <w:gridCol w:w="1133"/>
        <w:gridCol w:w="1389"/>
        <w:gridCol w:w="1031"/>
        <w:gridCol w:w="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08" w:type="dxa"/>
          <w:trHeight w:val="413" w:hRule="atLeast"/>
        </w:trPr>
        <w:tc>
          <w:tcPr>
            <w:tcW w:w="9781" w:type="dxa"/>
            <w:gridSpan w:val="8"/>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08" w:type="dxa"/>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pPr>
              <w:widowControl/>
              <w:jc w:val="center"/>
              <w:rPr>
                <w:rFonts w:eastAsia="宋体"/>
              </w:rP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133" w:type="dxa"/>
            <w:vAlign w:val="center"/>
          </w:tcPr>
          <w:p>
            <w:pPr>
              <w:widowControl/>
              <w:jc w:val="center"/>
              <w:rPr>
                <w:rFonts w:eastAsia="宋体"/>
              </w:rPr>
            </w:pPr>
            <w:r>
              <w:rPr>
                <w:rFonts w:hint="eastAsia"/>
              </w:rPr>
              <w:t>举办地点</w:t>
            </w:r>
          </w:p>
        </w:tc>
        <w:tc>
          <w:tcPr>
            <w:tcW w:w="1389" w:type="dxa"/>
            <w:vAlign w:val="center"/>
          </w:tcPr>
          <w:p>
            <w:pPr>
              <w:widowControl/>
              <w:jc w:val="center"/>
              <w:rPr>
                <w:rFonts w:eastAsia="宋体"/>
              </w:rPr>
            </w:pPr>
            <w:r>
              <w:rPr>
                <w:rFonts w:hint="eastAsia"/>
              </w:rPr>
              <w:t>对象及人数</w:t>
            </w:r>
          </w:p>
        </w:tc>
        <w:tc>
          <w:tcPr>
            <w:tcW w:w="1066" w:type="dxa"/>
            <w:gridSpan w:val="2"/>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08" w:type="dxa"/>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gridSpan w:val="2"/>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08" w:type="dxa"/>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gridSpan w:val="2"/>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08" w:type="dxa"/>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gridSpan w:val="2"/>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08" w:type="dxa"/>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gridSpan w:val="2"/>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08" w:type="dxa"/>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gridSpan w:val="2"/>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08" w:type="dxa"/>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gridSpan w:val="2"/>
            <w:tcBorders>
              <w:right w:val="single" w:color="auto" w:sz="4" w:space="0"/>
            </w:tcBorders>
          </w:tcPr>
          <w:p>
            <w:pPr>
              <w:widowControl/>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gridAfter w:val="1"/>
          <w:wAfter w:w="35" w:type="dxa"/>
        </w:trPr>
        <w:tc>
          <w:tcPr>
            <w:tcW w:w="9854" w:type="dxa"/>
            <w:gridSpan w:val="8"/>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gridAfter w:val="1"/>
          <w:wAfter w:w="35" w:type="dxa"/>
          <w:trHeight w:val="13400" w:hRule="atLeast"/>
        </w:trPr>
        <w:tc>
          <w:tcPr>
            <w:tcW w:w="9854" w:type="dxa"/>
            <w:gridSpan w:val="8"/>
          </w:tcPr>
          <w:p/>
          <w:p>
            <w:pPr>
              <w:adjustRightInd w:val="0"/>
              <w:snapToGrid w:val="0"/>
              <w:spacing w:line="360" w:lineRule="auto"/>
              <w:ind w:firstLine="420" w:firstLineChars="200"/>
              <w:rPr>
                <w:rFonts w:hint="eastAsia"/>
                <w:szCs w:val="21"/>
              </w:rPr>
            </w:pPr>
            <w:r>
              <w:rPr>
                <w:rFonts w:hint="eastAsia"/>
                <w:szCs w:val="21"/>
              </w:rPr>
              <w:t>本人于1996年6月毕业于河南省平顶山城建环保专科学校（现更名为河南省城建学院）。1997年5月—2003年11月，河南省汝南县环保局工作，并于2002年12月毕业于河南大学汉语言文学成教本科。2005年9月至2008年6月，在华中师范大学政法学院攻读硕士研究生，获得哲学硕士学位。2008年9月—2013年1月，华中师范大学汉口分校（现更名为汉口学院）思政课部</w:t>
            </w:r>
            <w:r>
              <w:rPr>
                <w:rFonts w:hint="eastAsia"/>
                <w:szCs w:val="21"/>
                <w:lang w:eastAsia="zh-CN"/>
              </w:rPr>
              <w:t>专职</w:t>
            </w:r>
            <w:r>
              <w:rPr>
                <w:rFonts w:hint="eastAsia"/>
                <w:szCs w:val="21"/>
              </w:rPr>
              <w:t>教师。2011年9月至2015年6月，在武汉大学哲学学院攻读博士研究生，获得哲学博士学位。</w:t>
            </w:r>
          </w:p>
          <w:p>
            <w:pPr>
              <w:adjustRightInd w:val="0"/>
              <w:snapToGrid w:val="0"/>
              <w:spacing w:line="360" w:lineRule="auto"/>
              <w:ind w:firstLine="420" w:firstLineChars="200"/>
              <w:rPr>
                <w:rFonts w:hint="eastAsia"/>
                <w:szCs w:val="21"/>
                <w:lang w:val="en-US" w:eastAsia="zh-CN"/>
              </w:rPr>
            </w:pPr>
            <w:r>
              <w:rPr>
                <w:rFonts w:hint="eastAsia"/>
                <w:szCs w:val="21"/>
              </w:rPr>
              <w:t>现任海南师范大学马克思主义学院思想政治教育系主任</w:t>
            </w:r>
            <w:r>
              <w:rPr>
                <w:rFonts w:hint="eastAsia"/>
                <w:szCs w:val="21"/>
                <w:lang w:eastAsia="zh-CN"/>
              </w:rPr>
              <w:t>，</w:t>
            </w:r>
            <w:r>
              <w:rPr>
                <w:rFonts w:hint="eastAsia"/>
                <w:szCs w:val="21"/>
              </w:rPr>
              <w:t>主要从事现象学、当代法国哲学、中西比较哲学的研究与教学。</w:t>
            </w:r>
            <w:r>
              <w:rPr>
                <w:rFonts w:hint="eastAsia"/>
                <w:szCs w:val="21"/>
                <w:lang w:val="en-US" w:eastAsia="zh-CN"/>
              </w:rPr>
              <w:t>2010年12月取得讲师资格，发证单位</w:t>
            </w:r>
            <w:r>
              <w:rPr>
                <w:rFonts w:hint="eastAsia" w:ascii="宋体" w:hAnsi="宋体"/>
                <w:szCs w:val="21"/>
              </w:rPr>
              <w:t>华中师范大学汉口分校(现更名汉口学院)</w:t>
            </w:r>
            <w:r>
              <w:rPr>
                <w:rFonts w:hint="eastAsia" w:ascii="宋体" w:hAnsi="宋体"/>
                <w:szCs w:val="21"/>
                <w:lang w:eastAsia="zh-CN"/>
              </w:rPr>
              <w:t>，</w:t>
            </w:r>
            <w:r>
              <w:rPr>
                <w:rFonts w:hint="eastAsia" w:ascii="宋体" w:hAnsi="宋体"/>
                <w:szCs w:val="21"/>
                <w:lang w:val="en-US" w:eastAsia="zh-CN"/>
              </w:rPr>
              <w:t xml:space="preserve">2015年12月海南省人力资源和社会保障厅再次确认。任讲师资格已经8年，仅就2015年6月取得博士学位至2017年12月之间教学和科研情况简述如下：             </w:t>
            </w:r>
          </w:p>
          <w:p>
            <w:pPr>
              <w:adjustRightInd w:val="0"/>
              <w:snapToGrid w:val="0"/>
              <w:spacing w:line="360" w:lineRule="auto"/>
              <w:ind w:firstLine="420" w:firstLineChars="200"/>
              <w:rPr>
                <w:rFonts w:hint="eastAsia"/>
                <w:szCs w:val="21"/>
              </w:rPr>
            </w:pPr>
            <w:r>
              <w:rPr>
                <w:rFonts w:hint="eastAsia"/>
                <w:szCs w:val="21"/>
                <w:lang w:eastAsia="zh-CN"/>
              </w:rPr>
              <w:t>本人自</w:t>
            </w:r>
            <w:r>
              <w:rPr>
                <w:rFonts w:hint="eastAsia"/>
                <w:szCs w:val="21"/>
                <w:lang w:val="en-US" w:eastAsia="zh-CN"/>
              </w:rPr>
              <w:t>2015年8月入职海南师范大学以来，一直担任思想政治教育系主任职务，期间2015年9月-2017年6月先后兼任2015级、2013级班主任工作，繁琐的行政管理工作和班级管理工作并没有影响到自己的教学和科研。</w:t>
            </w:r>
            <w:r>
              <w:rPr>
                <w:rFonts w:hint="eastAsia"/>
                <w:szCs w:val="21"/>
                <w:lang w:eastAsia="zh-CN"/>
              </w:rPr>
              <w:t>本人</w:t>
            </w:r>
            <w:r>
              <w:rPr>
                <w:rFonts w:hint="eastAsia"/>
                <w:szCs w:val="21"/>
              </w:rPr>
              <w:t>出版专著一部，独著（《亨利生命现象学研究》，人民出版社</w:t>
            </w:r>
            <w:r>
              <w:rPr>
                <w:rFonts w:hint="eastAsia"/>
                <w:szCs w:val="21"/>
                <w:lang w:eastAsia="zh-CN"/>
              </w:rPr>
              <w:t>，</w:t>
            </w:r>
            <w:r>
              <w:rPr>
                <w:rFonts w:hint="eastAsia"/>
                <w:szCs w:val="21"/>
                <w:lang w:val="en-US" w:eastAsia="zh-CN"/>
              </w:rPr>
              <w:t>2016年7月</w:t>
            </w:r>
            <w:r>
              <w:rPr>
                <w:rFonts w:hint="eastAsia"/>
                <w:szCs w:val="21"/>
              </w:rPr>
              <w:t>）</w:t>
            </w:r>
            <w:r>
              <w:rPr>
                <w:rFonts w:hint="eastAsia"/>
                <w:szCs w:val="21"/>
                <w:lang w:eastAsia="zh-CN"/>
              </w:rPr>
              <w:t>；</w:t>
            </w:r>
            <w:r>
              <w:rPr>
                <w:rFonts w:hint="eastAsia"/>
                <w:szCs w:val="21"/>
              </w:rPr>
              <w:t>先后</w:t>
            </w:r>
            <w:r>
              <w:rPr>
                <w:rFonts w:hint="eastAsia"/>
                <w:szCs w:val="21"/>
                <w:lang w:eastAsia="zh-CN"/>
              </w:rPr>
              <w:t>在</w:t>
            </w:r>
            <w:r>
              <w:rPr>
                <w:rFonts w:hint="eastAsia"/>
                <w:szCs w:val="21"/>
              </w:rPr>
              <w:t>在《现代哲学》、《社会科学》</w:t>
            </w:r>
            <w:r>
              <w:rPr>
                <w:rFonts w:hint="eastAsia"/>
                <w:szCs w:val="21"/>
                <w:lang w:eastAsia="zh-CN"/>
              </w:rPr>
              <w:t>、《哲学门》、《江汉论坛》</w:t>
            </w:r>
            <w:r>
              <w:rPr>
                <w:rFonts w:hint="eastAsia"/>
                <w:szCs w:val="21"/>
              </w:rPr>
              <w:t>等发表学术论文</w:t>
            </w:r>
            <w:r>
              <w:rPr>
                <w:rFonts w:hint="eastAsia"/>
                <w:szCs w:val="21"/>
                <w:lang w:val="en-US" w:eastAsia="zh-CN"/>
              </w:rPr>
              <w:t>6</w:t>
            </w:r>
            <w:r>
              <w:rPr>
                <w:rFonts w:hint="eastAsia"/>
                <w:szCs w:val="21"/>
              </w:rPr>
              <w:t>篇</w:t>
            </w:r>
            <w:r>
              <w:rPr>
                <w:rFonts w:hint="eastAsia"/>
                <w:szCs w:val="21"/>
                <w:lang w:eastAsia="zh-CN"/>
              </w:rPr>
              <w:t>，其中</w:t>
            </w:r>
            <w:r>
              <w:rPr>
                <w:rFonts w:hint="eastAsia"/>
                <w:szCs w:val="21"/>
                <w:lang w:val="en-US" w:eastAsia="zh-CN"/>
              </w:rPr>
              <w:t>4篇CSSCI，尤其</w:t>
            </w:r>
            <w:r>
              <w:rPr>
                <w:rFonts w:hint="eastAsia"/>
                <w:szCs w:val="21"/>
              </w:rPr>
              <w:t>《现代哲学》</w:t>
            </w:r>
            <w:r>
              <w:rPr>
                <w:rFonts w:hint="eastAsia"/>
                <w:szCs w:val="21"/>
                <w:lang w:eastAsia="zh-CN"/>
              </w:rPr>
              <w:t>、《哲学门》在哲学界具有较大影响力，</w:t>
            </w:r>
            <w:r>
              <w:rPr>
                <w:rFonts w:hint="eastAsia"/>
                <w:szCs w:val="21"/>
              </w:rPr>
              <w:t>论文被转载或被作者引用，在学术界产生较好影响。</w:t>
            </w:r>
          </w:p>
          <w:p>
            <w:pPr>
              <w:adjustRightInd w:val="0"/>
              <w:snapToGrid w:val="0"/>
              <w:spacing w:line="360" w:lineRule="auto"/>
              <w:ind w:firstLine="420" w:firstLineChars="200"/>
              <w:rPr>
                <w:rFonts w:hint="eastAsia"/>
                <w:szCs w:val="21"/>
              </w:rPr>
            </w:pPr>
            <w:r>
              <w:rPr>
                <w:rFonts w:hint="eastAsia" w:ascii="宋体" w:hAnsi="宋体"/>
                <w:szCs w:val="21"/>
                <w:lang w:val="en-US" w:eastAsia="zh-CN"/>
              </w:rPr>
              <w:t>本人参研国家社会科学基金项目、省部级课题等项目共4项，其中参与完成省部级及各类项目2项，分别是海南省社科项目“海南省中学教师培训模式创新研究”（HNSK(JD)15-37）和教育部人文社科项目“马里翁‘还原实施者’”难题研究（13YJC720010）”；作为主持人在研项目2项，分别是国家社科项目“亨利与柏格森的生命现象学思想比较研究（17XZX005）”和海南省教育厅教改项目“翻转课堂与PBL教学模式的融合在哲学教学中的应用研究（Hnjg2017-19）”。</w:t>
            </w:r>
          </w:p>
          <w:p>
            <w:pPr>
              <w:adjustRightInd w:val="0"/>
              <w:snapToGrid w:val="0"/>
              <w:spacing w:line="360" w:lineRule="auto"/>
              <w:ind w:firstLine="420" w:firstLineChars="200"/>
              <w:rPr>
                <w:rFonts w:hint="eastAsia" w:eastAsiaTheme="minorEastAsia"/>
                <w:szCs w:val="21"/>
                <w:lang w:val="en-US" w:eastAsia="zh-CN"/>
              </w:rPr>
            </w:pPr>
            <w:r>
              <w:rPr>
                <w:rFonts w:hint="eastAsia"/>
                <w:szCs w:val="21"/>
                <w:lang w:eastAsia="zh-CN"/>
              </w:rPr>
              <w:t>本人</w:t>
            </w:r>
            <w:r>
              <w:rPr>
                <w:rFonts w:hint="eastAsia"/>
                <w:szCs w:val="21"/>
              </w:rPr>
              <w:t>获得教学成果奖等各种奖励</w:t>
            </w:r>
            <w:r>
              <w:rPr>
                <w:rFonts w:hint="eastAsia"/>
                <w:szCs w:val="21"/>
                <w:lang w:val="en-US" w:eastAsia="zh-CN"/>
              </w:rPr>
              <w:t>5</w:t>
            </w:r>
            <w:r>
              <w:rPr>
                <w:rFonts w:hint="eastAsia"/>
                <w:szCs w:val="21"/>
              </w:rPr>
              <w:t>项，其中，2016年1月获得</w:t>
            </w:r>
            <w:r>
              <w:rPr>
                <w:rFonts w:hint="eastAsia"/>
                <w:szCs w:val="21"/>
                <w:lang w:eastAsia="zh-CN"/>
              </w:rPr>
              <w:t>“</w:t>
            </w:r>
            <w:r>
              <w:rPr>
                <w:rFonts w:hint="eastAsia"/>
                <w:szCs w:val="21"/>
                <w:lang w:val="en-US" w:eastAsia="zh-CN"/>
              </w:rPr>
              <w:t>2015-2016学年度</w:t>
            </w:r>
            <w:r>
              <w:rPr>
                <w:rFonts w:hint="eastAsia"/>
                <w:szCs w:val="21"/>
              </w:rPr>
              <w:t>顶岗支教优秀带队指导教师</w:t>
            </w:r>
            <w:r>
              <w:rPr>
                <w:rFonts w:hint="eastAsia"/>
                <w:szCs w:val="21"/>
                <w:lang w:eastAsia="zh-CN"/>
              </w:rPr>
              <w:t>”荣誉称号</w:t>
            </w:r>
            <w:r>
              <w:rPr>
                <w:rFonts w:hint="eastAsia"/>
                <w:szCs w:val="21"/>
              </w:rPr>
              <w:t>；2016年4月获得海南省高校思想政治理论课青年教师教学基本功比赛本科组三等奖；</w:t>
            </w:r>
            <w:r>
              <w:rPr>
                <w:rFonts w:hint="eastAsia"/>
                <w:szCs w:val="21"/>
                <w:lang w:val="en-US" w:eastAsia="zh-CN"/>
              </w:rPr>
              <w:t>2017年1月获得“2016-2017学年度顶岗实习管理先进个人”荣誉称号；2017年12月获得“2015-2016学年度优秀班主任”</w:t>
            </w:r>
            <w:r>
              <w:rPr>
                <w:rFonts w:hint="eastAsia"/>
                <w:szCs w:val="21"/>
                <w:lang w:eastAsia="zh-CN"/>
              </w:rPr>
              <w:t>荣誉称号；</w:t>
            </w:r>
            <w:r>
              <w:rPr>
                <w:rFonts w:hint="eastAsia"/>
                <w:szCs w:val="21"/>
                <w:lang w:val="en-US" w:eastAsia="zh-CN"/>
              </w:rPr>
              <w:t>2018年3月获得“2017-2018学年度顶岗实习管理先进个人”</w:t>
            </w:r>
            <w:r>
              <w:rPr>
                <w:rFonts w:hint="eastAsia"/>
                <w:szCs w:val="21"/>
                <w:lang w:eastAsia="zh-CN"/>
              </w:rPr>
              <w:t>荣誉称号。</w:t>
            </w:r>
          </w:p>
          <w:p>
            <w:pPr>
              <w:adjustRightInd w:val="0"/>
              <w:snapToGrid w:val="0"/>
              <w:spacing w:line="360" w:lineRule="auto"/>
              <w:ind w:firstLine="420" w:firstLineChars="200"/>
              <w:rPr>
                <w:rFonts w:hint="eastAsia"/>
                <w:szCs w:val="21"/>
              </w:rPr>
            </w:pPr>
            <w:r>
              <w:rPr>
                <w:rFonts w:hint="eastAsia"/>
                <w:szCs w:val="21"/>
                <w:lang w:eastAsia="zh-CN"/>
              </w:rPr>
              <w:t>本人</w:t>
            </w:r>
            <w:r>
              <w:rPr>
                <w:rFonts w:hint="eastAsia"/>
                <w:szCs w:val="21"/>
              </w:rPr>
              <w:t>担任本科生思想政治课的教学，具有较强的创新精神和实践能力。任现职以来，积极探索教育、教学方式的改革和创新，成效显著，讲课深受学生的喜爱，评教都是优秀，是最受学生欢迎的老师之一。例如，《楚天都市报》、《楚天金报》、《武汉晚报》等多家媒体于2011年9月15日题为《老师自创“QQ等级式”班规》，《湖北日报》《长江商报》）于2013年1月9日题为《高校教师学期最后一课“求批评”上演师生温情一幕》对本人的教学创新意识和授课影响力曾经做过详细报导。2016年4月获得海南省高校思想政治理论课青年教师教学基本功比赛三等奖。</w:t>
            </w:r>
          </w:p>
          <w:p>
            <w:pPr>
              <w:adjustRightInd w:val="0"/>
              <w:snapToGrid w:val="0"/>
              <w:spacing w:line="360" w:lineRule="auto"/>
              <w:ind w:firstLine="420" w:firstLineChars="200"/>
              <w:rPr>
                <w:rFonts w:hint="eastAsia"/>
                <w:szCs w:val="21"/>
              </w:rPr>
            </w:pPr>
            <w:r>
              <w:rPr>
                <w:rFonts w:hint="eastAsia"/>
                <w:szCs w:val="21"/>
                <w:lang w:eastAsia="zh-CN"/>
              </w:rPr>
              <w:t>本人</w:t>
            </w:r>
            <w:r>
              <w:rPr>
                <w:rFonts w:hint="eastAsia"/>
                <w:szCs w:val="21"/>
              </w:rPr>
              <w:t>指导本科学生毕业论文</w:t>
            </w:r>
            <w:r>
              <w:rPr>
                <w:rFonts w:hint="eastAsia"/>
                <w:szCs w:val="21"/>
                <w:lang w:val="en-US" w:eastAsia="zh-CN"/>
              </w:rPr>
              <w:t>50</w:t>
            </w:r>
            <w:r>
              <w:rPr>
                <w:rFonts w:hint="eastAsia"/>
                <w:szCs w:val="21"/>
              </w:rPr>
              <w:t>余篇。指导学生认真、负责。通过耐心、细致的指导，学生的写作能力得到了较大的提高</w:t>
            </w:r>
            <w:r>
              <w:rPr>
                <w:rFonts w:hint="eastAsia"/>
                <w:szCs w:val="21"/>
                <w:lang w:eastAsia="zh-CN"/>
              </w:rPr>
              <w:t>，</w:t>
            </w:r>
            <w:r>
              <w:rPr>
                <w:rFonts w:hint="eastAsia"/>
                <w:szCs w:val="21"/>
              </w:rPr>
              <w:t>学生普遍给予较高的评价。</w:t>
            </w:r>
          </w:p>
          <w:p>
            <w:pPr>
              <w:adjustRightInd w:val="0"/>
              <w:snapToGrid w:val="0"/>
              <w:spacing w:line="360" w:lineRule="auto"/>
              <w:ind w:firstLine="420" w:firstLineChars="200"/>
              <w:rPr>
                <w:rFonts w:hint="eastAsia"/>
                <w:szCs w:val="21"/>
              </w:rPr>
            </w:pPr>
            <w:r>
              <w:rPr>
                <w:rFonts w:hint="eastAsia"/>
                <w:szCs w:val="21"/>
                <w:lang w:eastAsia="zh-CN"/>
              </w:rPr>
              <w:t>本人</w:t>
            </w:r>
            <w:r>
              <w:rPr>
                <w:rFonts w:hint="eastAsia"/>
                <w:szCs w:val="21"/>
              </w:rPr>
              <w:t>能够独立承担多门公共课和专业基础课的教学，教育教学水平高，教学效果较好。任现职以来，相继给本科生讲授《马克思主义基本原理》、《形势与政策》等</w:t>
            </w:r>
            <w:r>
              <w:rPr>
                <w:rFonts w:hint="eastAsia"/>
                <w:szCs w:val="21"/>
                <w:lang w:eastAsia="zh-CN"/>
              </w:rPr>
              <w:t>本科生公共必修</w:t>
            </w:r>
            <w:r>
              <w:rPr>
                <w:rFonts w:hint="eastAsia"/>
                <w:szCs w:val="21"/>
              </w:rPr>
              <w:t>课程。先后承担了思想政治教育专业本科生的专业基础课，如《管理学概论》、《现代西方伦理学》、《</w:t>
            </w:r>
            <w:r>
              <w:rPr>
                <w:szCs w:val="21"/>
              </w:rPr>
              <w:t>世界政治经济与国际关系</w:t>
            </w:r>
            <w:r>
              <w:rPr>
                <w:rFonts w:hint="eastAsia"/>
                <w:szCs w:val="21"/>
              </w:rPr>
              <w:t>》、《政治经济学》</w:t>
            </w:r>
            <w:r>
              <w:rPr>
                <w:rFonts w:hint="eastAsia"/>
                <w:szCs w:val="21"/>
                <w:lang w:eastAsia="zh-CN"/>
              </w:rPr>
              <w:t>、《哲学导论》、《政治哲学》</w:t>
            </w:r>
            <w:r>
              <w:rPr>
                <w:rFonts w:hint="eastAsia"/>
                <w:szCs w:val="21"/>
              </w:rPr>
              <w:t xml:space="preserve">等。在教学中，应用多种教学方法，注重将国内外最新理论成果融入教学之中，培养学生的理论素养，使学生形成正确的世界观、价值观和人生观。 </w:t>
            </w:r>
          </w:p>
          <w:p>
            <w:pPr>
              <w:adjustRightInd w:val="0"/>
              <w:snapToGrid w:val="0"/>
              <w:spacing w:line="360" w:lineRule="auto"/>
              <w:ind w:firstLine="420" w:firstLineChars="200"/>
              <w:rPr>
                <w:rFonts w:hint="eastAsia"/>
                <w:szCs w:val="21"/>
              </w:rPr>
            </w:pPr>
            <w:r>
              <w:rPr>
                <w:rFonts w:hint="eastAsia"/>
                <w:szCs w:val="21"/>
                <w:lang w:eastAsia="zh-CN"/>
              </w:rPr>
              <w:t>本人</w:t>
            </w:r>
            <w:r>
              <w:rPr>
                <w:rFonts w:hint="eastAsia"/>
                <w:szCs w:val="21"/>
              </w:rPr>
              <w:t>教学工作量及课堂教学质量评价</w:t>
            </w:r>
            <w:r>
              <w:rPr>
                <w:rFonts w:hint="eastAsia"/>
                <w:szCs w:val="21"/>
                <w:lang w:eastAsia="zh-CN"/>
              </w:rPr>
              <w:t>均</w:t>
            </w:r>
            <w:r>
              <w:rPr>
                <w:rFonts w:hint="eastAsia"/>
                <w:szCs w:val="21"/>
              </w:rPr>
              <w:t>达标。在承担繁重的系部工作同时，始终把本科教学工作作为一切工作的重点和核心。近</w:t>
            </w:r>
            <w:r>
              <w:rPr>
                <w:rFonts w:hint="eastAsia"/>
                <w:szCs w:val="21"/>
                <w:lang w:val="en-US" w:eastAsia="zh-CN"/>
              </w:rPr>
              <w:t>2.5</w:t>
            </w:r>
            <w:r>
              <w:rPr>
                <w:rFonts w:hint="eastAsia"/>
                <w:szCs w:val="21"/>
              </w:rPr>
              <w:t>年，承担全日期本科生</w:t>
            </w:r>
            <w:r>
              <w:rPr>
                <w:rFonts w:hint="eastAsia"/>
                <w:szCs w:val="21"/>
                <w:lang w:val="en-US" w:eastAsia="zh-CN"/>
              </w:rPr>
              <w:t>7</w:t>
            </w:r>
            <w:r>
              <w:rPr>
                <w:rFonts w:hint="eastAsia"/>
                <w:szCs w:val="21"/>
              </w:rPr>
              <w:t>门课程的讲授，其中</w:t>
            </w:r>
            <w:r>
              <w:rPr>
                <w:rFonts w:hint="eastAsia"/>
                <w:szCs w:val="21"/>
                <w:lang w:val="en-US" w:eastAsia="zh-CN"/>
              </w:rPr>
              <w:t>6</w:t>
            </w:r>
            <w:r>
              <w:rPr>
                <w:rFonts w:hint="eastAsia"/>
                <w:szCs w:val="21"/>
              </w:rPr>
              <w:t>门为必修课；总计课堂教学授课时数为</w:t>
            </w:r>
            <w:r>
              <w:rPr>
                <w:rFonts w:hint="eastAsia"/>
                <w:szCs w:val="21"/>
                <w:lang w:val="en-US" w:eastAsia="zh-CN"/>
              </w:rPr>
              <w:t xml:space="preserve"> 918</w:t>
            </w:r>
            <w:r>
              <w:rPr>
                <w:rFonts w:hint="eastAsia"/>
                <w:szCs w:val="21"/>
              </w:rPr>
              <w:t>学时，年平均课堂授课</w:t>
            </w:r>
            <w:r>
              <w:rPr>
                <w:rFonts w:hint="eastAsia"/>
                <w:szCs w:val="21"/>
                <w:lang w:val="en-US" w:eastAsia="zh-CN"/>
              </w:rPr>
              <w:t>367.2</w:t>
            </w:r>
            <w:r>
              <w:rPr>
                <w:rFonts w:hint="eastAsia"/>
                <w:szCs w:val="21"/>
              </w:rPr>
              <w:t xml:space="preserve"> 学时，超额完成了学校规定的基本教学工作量</w:t>
            </w:r>
            <w:r>
              <w:rPr>
                <w:rFonts w:hint="eastAsia"/>
                <w:szCs w:val="21"/>
                <w:lang w:eastAsia="zh-CN"/>
              </w:rPr>
              <w:t>，</w:t>
            </w:r>
            <w:r>
              <w:rPr>
                <w:rFonts w:hint="eastAsia"/>
                <w:szCs w:val="21"/>
              </w:rPr>
              <w:t xml:space="preserve">课堂教学质量测评“优秀”的次数达 </w:t>
            </w:r>
            <w:r>
              <w:rPr>
                <w:rFonts w:hint="eastAsia"/>
                <w:szCs w:val="21"/>
                <w:lang w:val="en-US" w:eastAsia="zh-CN"/>
              </w:rPr>
              <w:t>100</w:t>
            </w:r>
            <w:r>
              <w:rPr>
                <w:rFonts w:hint="eastAsia"/>
                <w:szCs w:val="21"/>
              </w:rPr>
              <w:t xml:space="preserve"> %。</w:t>
            </w:r>
          </w:p>
          <w:p>
            <w:pPr>
              <w:adjustRightInd w:val="0"/>
              <w:snapToGrid w:val="0"/>
              <w:spacing w:line="360" w:lineRule="auto"/>
              <w:ind w:firstLine="420" w:firstLineChars="200"/>
              <w:rPr>
                <w:rFonts w:hint="eastAsia"/>
                <w:sz w:val="28"/>
              </w:rPr>
            </w:pPr>
            <w:r>
              <w:rPr>
                <w:rFonts w:hint="eastAsia"/>
                <w:szCs w:val="21"/>
                <w:lang w:eastAsia="zh-CN"/>
              </w:rPr>
              <w:t>本人</w:t>
            </w:r>
            <w:r>
              <w:rPr>
                <w:rFonts w:hint="eastAsia"/>
                <w:szCs w:val="21"/>
              </w:rPr>
              <w:t>积极指导和帮助青年教师、新入职教师</w:t>
            </w:r>
            <w:r>
              <w:rPr>
                <w:rFonts w:hint="eastAsia"/>
                <w:szCs w:val="21"/>
                <w:lang w:eastAsia="zh-CN"/>
              </w:rPr>
              <w:t>取得优秀成绩</w:t>
            </w:r>
            <w:r>
              <w:rPr>
                <w:rFonts w:hint="eastAsia"/>
                <w:szCs w:val="21"/>
              </w:rPr>
              <w:t>。在做好各项工作的同时，积极、主动、认真地指导青年教师及新入职的老师，从做好老师的素质、理论素养、价值追求以及教学艺术等方面，引领他们尽快成长，使他们及早成为合格的高校教师</w:t>
            </w:r>
            <w:r>
              <w:rPr>
                <w:rFonts w:hint="eastAsia"/>
                <w:szCs w:val="21"/>
                <w:lang w:eastAsia="zh-CN"/>
              </w:rPr>
              <w:t>，比如本人指导的青年教师张现洪和张欢老师在</w:t>
            </w:r>
            <w:r>
              <w:rPr>
                <w:rFonts w:hint="eastAsia"/>
                <w:szCs w:val="21"/>
                <w:lang w:val="en-US" w:eastAsia="zh-CN"/>
              </w:rPr>
              <w:t>2018年</w:t>
            </w:r>
            <w:r>
              <w:rPr>
                <w:rFonts w:hint="eastAsia" w:ascii="宋体" w:hAnsi="宋体"/>
                <w:szCs w:val="21"/>
                <w:lang w:val="en-US" w:eastAsia="zh-CN"/>
              </w:rPr>
              <w:t>海南省高校思想政治理论课青年教师教学基本功比赛中，</w:t>
            </w:r>
            <w:r>
              <w:rPr>
                <w:rFonts w:hint="eastAsia"/>
                <w:szCs w:val="21"/>
                <w:lang w:eastAsia="zh-CN"/>
              </w:rPr>
              <w:t>分别</w:t>
            </w:r>
            <w:r>
              <w:rPr>
                <w:rFonts w:hint="eastAsia" w:ascii="宋体" w:hAnsi="宋体"/>
                <w:szCs w:val="21"/>
                <w:lang w:val="en-US" w:eastAsia="zh-CN"/>
              </w:rPr>
              <w:t>获得“马克思主义基本原理”组一等奖、“思想道德修养与法律基础”组二等奖</w:t>
            </w:r>
            <w:r>
              <w:rPr>
                <w:rFonts w:hint="eastAsia"/>
                <w:szCs w:val="21"/>
              </w:rPr>
              <w:t>。</w:t>
            </w:r>
          </w:p>
          <w:p>
            <w:pPr>
              <w:adjustRightInd w:val="0"/>
              <w:snapToGrid w:val="0"/>
              <w:spacing w:line="360" w:lineRule="auto"/>
              <w:ind w:firstLine="525" w:firstLineChars="250"/>
              <w:rPr>
                <w:rFonts w:hint="eastAsia"/>
                <w:szCs w:val="21"/>
              </w:rPr>
            </w:pPr>
            <w:r>
              <w:rPr>
                <w:rFonts w:hint="eastAsia"/>
                <w:szCs w:val="21"/>
              </w:rPr>
              <w:t>总之，本人在学院、系部领导的关怀和其他教师的共同努力和帮助下，任现职以来，在教学、科研、课程建设、专业建设、班主任等工作中均取得了一定的成绩，符合高校副教授专业技术资格条件的要求。本人将在以后的工作中继续努力学习，进一步提高自身的素质，更好地为祖国的教育事业贡献自己的一份力量。</w:t>
            </w:r>
          </w:p>
          <w:p>
            <w:pPr>
              <w:adjustRightInd w:val="0"/>
              <w:snapToGrid w:val="0"/>
              <w:spacing w:line="360" w:lineRule="auto"/>
              <w:ind w:firstLine="525" w:firstLineChars="250"/>
              <w:rPr>
                <w:rFonts w:hint="eastAsia"/>
                <w:szCs w:val="21"/>
              </w:rPr>
            </w:pPr>
          </w:p>
          <w:p/>
          <w:p/>
          <w:p/>
          <w:p/>
          <w:p/>
          <w:p/>
          <w:p>
            <w:r>
              <w:rPr>
                <w:rFonts w:hint="eastAsia"/>
              </w:rPr>
              <w:t>本人承诺：</w:t>
            </w:r>
          </w:p>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签名：        </w:t>
            </w:r>
            <w:r>
              <w:rPr>
                <w:rFonts w:hint="eastAsia"/>
                <w:lang w:val="en-US" w:eastAsia="zh-CN"/>
              </w:rPr>
              <w:t xml:space="preserve">     </w:t>
            </w:r>
            <w:r>
              <w:rPr>
                <w:rFonts w:hint="eastAsia"/>
              </w:rPr>
              <w:t xml:space="preserve"> </w:t>
            </w:r>
            <w:r>
              <w:rPr>
                <w:rFonts w:hint="eastAsia"/>
                <w:lang w:val="en-US" w:eastAsia="zh-CN"/>
              </w:rPr>
              <w:t>2018</w:t>
            </w:r>
            <w:r>
              <w:rPr>
                <w:rFonts w:hint="eastAsia"/>
              </w:rPr>
              <w:t xml:space="preserve">年 </w:t>
            </w:r>
            <w:r>
              <w:rPr>
                <w:rFonts w:hint="eastAsia"/>
                <w:lang w:val="en-US" w:eastAsia="zh-CN"/>
              </w:rPr>
              <w:t>11</w:t>
            </w:r>
            <w:r>
              <w:rPr>
                <w:rFonts w:hint="eastAsia"/>
              </w:rPr>
              <w:t>月</w:t>
            </w:r>
            <w:r>
              <w:rPr>
                <w:rFonts w:hint="eastAsia"/>
                <w:lang w:val="en-US" w:eastAsia="zh-CN"/>
              </w:rPr>
              <w:t>2</w:t>
            </w:r>
            <w:r>
              <w:rPr>
                <w:rFonts w:hint="eastAsia"/>
              </w:rPr>
              <w:t>日</w:t>
            </w:r>
          </w:p>
          <w:p>
            <w:pPr>
              <w:rPr>
                <w:rFonts w:hint="eastAsia"/>
              </w:rPr>
            </w:pPr>
          </w:p>
        </w:tc>
      </w:tr>
    </w:tbl>
    <w:p/>
    <w:tbl>
      <w:tblPr>
        <w:tblStyle w:val="6"/>
        <w:tblW w:w="9888" w:type="dxa"/>
        <w:tblInd w:w="-34" w:type="dxa"/>
        <w:tblLayout w:type="fixed"/>
        <w:tblCellMar>
          <w:top w:w="0" w:type="dxa"/>
          <w:left w:w="108" w:type="dxa"/>
          <w:bottom w:w="0" w:type="dxa"/>
          <w:right w:w="108" w:type="dxa"/>
        </w:tblCellMar>
      </w:tblPr>
      <w:tblGrid>
        <w:gridCol w:w="1276"/>
        <w:gridCol w:w="8612"/>
      </w:tblGrid>
      <w:tr>
        <w:tblPrEx>
          <w:tblLayout w:type="fixed"/>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各学院专业技术评审工作委员会审核推荐意见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Layout w:type="fixed"/>
          <w:tblCellMar>
            <w:top w:w="0" w:type="dxa"/>
            <w:left w:w="108" w:type="dxa"/>
            <w:bottom w:w="0" w:type="dxa"/>
            <w:right w:w="108" w:type="dxa"/>
          </w:tblCellMar>
        </w:tblPrEx>
        <w:trPr>
          <w:trHeight w:val="52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同行专家评审情况记录</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代表作1名称：</w:t>
            </w:r>
            <w:r>
              <w:rPr>
                <w:rFonts w:hint="eastAsia" w:ascii="宋体" w:hAnsi="宋体" w:cs="Arial"/>
                <w:color w:val="000000"/>
                <w:kern w:val="0"/>
                <w:sz w:val="18"/>
                <w:szCs w:val="18"/>
                <w:lang w:eastAsia="zh-CN"/>
              </w:rPr>
              <w:t>《亨利生命现象学研究》</w:t>
            </w:r>
            <w:r>
              <w:rPr>
                <w:rFonts w:hint="eastAsia" w:ascii="宋体" w:hAnsi="宋体" w:cs="Arial"/>
                <w:color w:val="000000"/>
                <w:kern w:val="0"/>
                <w:sz w:val="18"/>
                <w:szCs w:val="18"/>
                <w:lang w:val="en-US" w:eastAsia="zh-CN"/>
              </w:rPr>
              <w:t xml:space="preserve"> </w:t>
            </w:r>
          </w:p>
          <w:p>
            <w:pPr>
              <w:widowControl/>
              <w:jc w:val="left"/>
              <w:rPr>
                <w:rFonts w:hint="eastAsia" w:ascii="仿宋_GB2312" w:eastAsia="仿宋_GB2312"/>
                <w:sz w:val="18"/>
                <w:szCs w:val="18"/>
                <w:lang w:val="en-US" w:eastAsia="zh-CN"/>
              </w:rPr>
            </w:pPr>
            <w:r>
              <w:rPr>
                <w:rFonts w:hint="eastAsia" w:ascii="宋体" w:hAnsi="宋体" w:cs="Arial"/>
                <w:color w:val="000000"/>
                <w:kern w:val="0"/>
                <w:szCs w:val="21"/>
              </w:rPr>
              <w:t>代表作2名称：</w:t>
            </w:r>
            <w:r>
              <w:rPr>
                <w:rFonts w:hint="eastAsia" w:ascii="宋体" w:hAnsi="宋体" w:cs="Arial"/>
                <w:color w:val="000000"/>
                <w:kern w:val="0"/>
                <w:sz w:val="18"/>
                <w:szCs w:val="18"/>
                <w:lang w:val="en-US" w:eastAsia="zh-CN"/>
              </w:rPr>
              <w:t>《自我·他者与生命-米歇尔·亨利对胡塞尔交互主体性的反思与批判》</w:t>
            </w:r>
            <w:r>
              <w:rPr>
                <w:rFonts w:hint="eastAsia" w:ascii="仿宋_GB2312" w:eastAsia="仿宋_GB2312"/>
                <w:sz w:val="18"/>
                <w:szCs w:val="18"/>
                <w:lang w:val="en-US" w:eastAsia="zh-CN"/>
              </w:rPr>
              <w:t xml:space="preserve"> </w:t>
            </w:r>
          </w:p>
          <w:p>
            <w:pPr>
              <w:widowControl/>
              <w:jc w:val="left"/>
              <w:rPr>
                <w:rFonts w:hint="eastAsia" w:ascii="仿宋_GB2312" w:eastAsia="仿宋_GB2312"/>
                <w:sz w:val="18"/>
                <w:szCs w:val="18"/>
                <w:lang w:val="en-US" w:eastAsia="zh-CN"/>
              </w:rPr>
            </w:pPr>
          </w:p>
          <w:p>
            <w:pPr>
              <w:widowControl/>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Layout w:type="fixed"/>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Layout w:type="fixed"/>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Layout w:type="fixed"/>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6"/>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3126B"/>
    <w:rsid w:val="0002075C"/>
    <w:rsid w:val="00024587"/>
    <w:rsid w:val="00050B41"/>
    <w:rsid w:val="000835E5"/>
    <w:rsid w:val="00086C19"/>
    <w:rsid w:val="00091D39"/>
    <w:rsid w:val="00093E8E"/>
    <w:rsid w:val="000A1C4F"/>
    <w:rsid w:val="000A53B5"/>
    <w:rsid w:val="000B5BC8"/>
    <w:rsid w:val="000B7E3F"/>
    <w:rsid w:val="000C7246"/>
    <w:rsid w:val="000E1FCC"/>
    <w:rsid w:val="000E777B"/>
    <w:rsid w:val="000F2B39"/>
    <w:rsid w:val="001034FB"/>
    <w:rsid w:val="00106765"/>
    <w:rsid w:val="00110033"/>
    <w:rsid w:val="00123022"/>
    <w:rsid w:val="0012343B"/>
    <w:rsid w:val="0012740F"/>
    <w:rsid w:val="0012753C"/>
    <w:rsid w:val="00136E7A"/>
    <w:rsid w:val="00163F01"/>
    <w:rsid w:val="00171343"/>
    <w:rsid w:val="00192A61"/>
    <w:rsid w:val="001937B4"/>
    <w:rsid w:val="001D2597"/>
    <w:rsid w:val="001E1E38"/>
    <w:rsid w:val="00211798"/>
    <w:rsid w:val="00226AC5"/>
    <w:rsid w:val="002270A7"/>
    <w:rsid w:val="00271356"/>
    <w:rsid w:val="002859E6"/>
    <w:rsid w:val="002C2E4D"/>
    <w:rsid w:val="002E42F6"/>
    <w:rsid w:val="002F1EC4"/>
    <w:rsid w:val="00314EE7"/>
    <w:rsid w:val="0033126B"/>
    <w:rsid w:val="0033420A"/>
    <w:rsid w:val="00342D04"/>
    <w:rsid w:val="00345CE6"/>
    <w:rsid w:val="00353FFB"/>
    <w:rsid w:val="0036206F"/>
    <w:rsid w:val="00384C68"/>
    <w:rsid w:val="003B5BA5"/>
    <w:rsid w:val="003C6F7B"/>
    <w:rsid w:val="003D6C2A"/>
    <w:rsid w:val="00410217"/>
    <w:rsid w:val="00413D18"/>
    <w:rsid w:val="00424D1B"/>
    <w:rsid w:val="00455996"/>
    <w:rsid w:val="004632E2"/>
    <w:rsid w:val="00477CC6"/>
    <w:rsid w:val="00481C0E"/>
    <w:rsid w:val="00492E46"/>
    <w:rsid w:val="004A7AE8"/>
    <w:rsid w:val="004B1AFD"/>
    <w:rsid w:val="004F21A1"/>
    <w:rsid w:val="00501DE0"/>
    <w:rsid w:val="00583E93"/>
    <w:rsid w:val="005E06B1"/>
    <w:rsid w:val="005E3440"/>
    <w:rsid w:val="005E58F4"/>
    <w:rsid w:val="00607D1E"/>
    <w:rsid w:val="00623BB8"/>
    <w:rsid w:val="00647D66"/>
    <w:rsid w:val="00661D38"/>
    <w:rsid w:val="00690D02"/>
    <w:rsid w:val="00691EF6"/>
    <w:rsid w:val="006E5989"/>
    <w:rsid w:val="006E7E68"/>
    <w:rsid w:val="007031A9"/>
    <w:rsid w:val="007313BA"/>
    <w:rsid w:val="00734128"/>
    <w:rsid w:val="007415CC"/>
    <w:rsid w:val="00741F1A"/>
    <w:rsid w:val="00746377"/>
    <w:rsid w:val="007A6787"/>
    <w:rsid w:val="007E7FD3"/>
    <w:rsid w:val="008269F0"/>
    <w:rsid w:val="00826A66"/>
    <w:rsid w:val="00830327"/>
    <w:rsid w:val="00833AA5"/>
    <w:rsid w:val="00867374"/>
    <w:rsid w:val="008678EB"/>
    <w:rsid w:val="00872E0F"/>
    <w:rsid w:val="008764C0"/>
    <w:rsid w:val="00876F0D"/>
    <w:rsid w:val="00882519"/>
    <w:rsid w:val="0089698F"/>
    <w:rsid w:val="008B4063"/>
    <w:rsid w:val="008B5E5E"/>
    <w:rsid w:val="008C4C0F"/>
    <w:rsid w:val="00912A23"/>
    <w:rsid w:val="00956FEE"/>
    <w:rsid w:val="009624BB"/>
    <w:rsid w:val="00962F66"/>
    <w:rsid w:val="00967876"/>
    <w:rsid w:val="009C1F06"/>
    <w:rsid w:val="009E64C8"/>
    <w:rsid w:val="00A03435"/>
    <w:rsid w:val="00A12F14"/>
    <w:rsid w:val="00A600A4"/>
    <w:rsid w:val="00AD5CCC"/>
    <w:rsid w:val="00AF445F"/>
    <w:rsid w:val="00B07F41"/>
    <w:rsid w:val="00B16465"/>
    <w:rsid w:val="00B22E22"/>
    <w:rsid w:val="00B82843"/>
    <w:rsid w:val="00BA646C"/>
    <w:rsid w:val="00BD1A32"/>
    <w:rsid w:val="00BD4E90"/>
    <w:rsid w:val="00C008D8"/>
    <w:rsid w:val="00C0165A"/>
    <w:rsid w:val="00C77711"/>
    <w:rsid w:val="00C96100"/>
    <w:rsid w:val="00CB1F99"/>
    <w:rsid w:val="00CD42FF"/>
    <w:rsid w:val="00CD7981"/>
    <w:rsid w:val="00D20B34"/>
    <w:rsid w:val="00D36A37"/>
    <w:rsid w:val="00D3748A"/>
    <w:rsid w:val="00D416C2"/>
    <w:rsid w:val="00D41CF0"/>
    <w:rsid w:val="00D66B57"/>
    <w:rsid w:val="00DA3AD6"/>
    <w:rsid w:val="00DB02E4"/>
    <w:rsid w:val="00DC11A1"/>
    <w:rsid w:val="00DD5F4F"/>
    <w:rsid w:val="00DD7968"/>
    <w:rsid w:val="00DE299B"/>
    <w:rsid w:val="00E07849"/>
    <w:rsid w:val="00E206F2"/>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02545994"/>
    <w:rsid w:val="07AA369D"/>
    <w:rsid w:val="09A53B03"/>
    <w:rsid w:val="118C4F67"/>
    <w:rsid w:val="126A19FD"/>
    <w:rsid w:val="12B62A7F"/>
    <w:rsid w:val="15072153"/>
    <w:rsid w:val="1BF7799F"/>
    <w:rsid w:val="21D531E0"/>
    <w:rsid w:val="22261BC9"/>
    <w:rsid w:val="23360E66"/>
    <w:rsid w:val="24942C1F"/>
    <w:rsid w:val="2E0743CC"/>
    <w:rsid w:val="2F3F69FD"/>
    <w:rsid w:val="2FC921D6"/>
    <w:rsid w:val="31030D48"/>
    <w:rsid w:val="35E75FBB"/>
    <w:rsid w:val="38137820"/>
    <w:rsid w:val="3B700D8C"/>
    <w:rsid w:val="3DA462D7"/>
    <w:rsid w:val="446C112B"/>
    <w:rsid w:val="45303427"/>
    <w:rsid w:val="50C159C2"/>
    <w:rsid w:val="568862E6"/>
    <w:rsid w:val="599467E7"/>
    <w:rsid w:val="66364991"/>
    <w:rsid w:val="6A231C88"/>
    <w:rsid w:val="6EAE5FB6"/>
    <w:rsid w:val="73850E7A"/>
    <w:rsid w:val="7ADB40A3"/>
    <w:rsid w:val="7D883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12</Pages>
  <Words>688</Words>
  <Characters>3928</Characters>
  <Lines>32</Lines>
  <Paragraphs>9</Paragraphs>
  <TotalTime>89</TotalTime>
  <ScaleCrop>false</ScaleCrop>
  <LinksUpToDate>false</LinksUpToDate>
  <CharactersWithSpaces>4607</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lenovo</cp:lastModifiedBy>
  <cp:lastPrinted>2018-11-08T06:48:10Z</cp:lastPrinted>
  <dcterms:modified xsi:type="dcterms:W3CDTF">2018-11-08T08:00:44Z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